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384"/>
        <w:gridCol w:w="7826"/>
      </w:tblGrid>
      <w:tr w:rsidR="00ED3333" w:rsidRPr="00ED3333" w14:paraId="749B0BC1" w14:textId="77777777" w:rsidTr="00DA6A67">
        <w:tc>
          <w:tcPr>
            <w:tcW w:w="1384" w:type="dxa"/>
            <w:shd w:val="clear" w:color="auto" w:fill="D9D9D9" w:themeFill="background1" w:themeFillShade="D9"/>
            <w:vAlign w:val="bottom"/>
          </w:tcPr>
          <w:p w14:paraId="5BEFC982" w14:textId="77777777" w:rsidR="00ED3333" w:rsidRPr="00ED3333" w:rsidRDefault="000A48C8" w:rsidP="00ED3333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B.12</w:t>
            </w:r>
          </w:p>
        </w:tc>
        <w:tc>
          <w:tcPr>
            <w:tcW w:w="7826" w:type="dxa"/>
            <w:shd w:val="clear" w:color="auto" w:fill="D9D9D9" w:themeFill="background1" w:themeFillShade="D9"/>
            <w:vAlign w:val="bottom"/>
          </w:tcPr>
          <w:p w14:paraId="1912783A" w14:textId="77777777" w:rsidR="00ED3333" w:rsidRPr="00ED3333" w:rsidRDefault="000A48C8" w:rsidP="00ED3333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Přírodě blízké břehové opevnění (PBBO)</w:t>
            </w:r>
          </w:p>
        </w:tc>
      </w:tr>
      <w:tr w:rsidR="002F650F" w14:paraId="076C0372" w14:textId="77777777" w:rsidTr="002F650F">
        <w:tc>
          <w:tcPr>
            <w:tcW w:w="1384" w:type="dxa"/>
          </w:tcPr>
          <w:p w14:paraId="7B1EDE46" w14:textId="77777777" w:rsidR="002F650F" w:rsidRDefault="00ED3333" w:rsidP="002F650F">
            <w:r>
              <w:t>Úsek</w:t>
            </w:r>
          </w:p>
        </w:tc>
        <w:tc>
          <w:tcPr>
            <w:tcW w:w="7826" w:type="dxa"/>
          </w:tcPr>
          <w:p w14:paraId="6A422AAC" w14:textId="77777777" w:rsidR="002F650F" w:rsidRDefault="00FD2F83" w:rsidP="002F650F">
            <w:r>
              <w:t>B</w:t>
            </w:r>
            <w:r w:rsidRPr="00113E1A">
              <w:t xml:space="preserve"> (</w:t>
            </w:r>
            <w:r w:rsidRPr="005E2ECD">
              <w:t>u domů s pečovatelskou službou</w:t>
            </w:r>
            <w:r w:rsidRPr="00113E1A">
              <w:t>)</w:t>
            </w:r>
          </w:p>
        </w:tc>
      </w:tr>
    </w:tbl>
    <w:p w14:paraId="55CCE2A9" w14:textId="77777777" w:rsidR="00BE0FEB" w:rsidRDefault="00BE0FEB">
      <w:pPr>
        <w:pStyle w:val="Bntext"/>
      </w:pPr>
    </w:p>
    <w:p w14:paraId="30205AB7" w14:textId="77777777" w:rsidR="002F650F" w:rsidRDefault="008E208F" w:rsidP="00DA6A67">
      <w:pPr>
        <w:pStyle w:val="NadpisC"/>
      </w:pPr>
      <w:r>
        <w:t>1</w:t>
      </w:r>
      <w:r>
        <w:tab/>
      </w:r>
      <w:r w:rsidR="002F650F">
        <w:t>Popis námětu dle Studie</w:t>
      </w:r>
    </w:p>
    <w:p w14:paraId="6444F8D8" w14:textId="77777777" w:rsidR="002F650F" w:rsidRPr="007A76A5" w:rsidRDefault="00A64C81" w:rsidP="00A64C81">
      <w:pPr>
        <w:pStyle w:val="Bntext"/>
        <w:rPr>
          <w:i/>
          <w:iCs/>
        </w:rPr>
      </w:pPr>
      <w:r w:rsidRPr="007A76A5">
        <w:rPr>
          <w:i/>
          <w:iCs/>
        </w:rPr>
        <w:t xml:space="preserve">Je uplatněno břehové opevnění záhozem z lomového kamene do 500 kg pohřbeného pod proměnlivě mocnou vrstvou štěrkopísku. V březích je navrženo pomístní vložení torz stromů kotvených k sobě navzájem i do dna a částečně přesypaných štěrkopískem. Zejména ve vazbě na kotvenou dřevní hmotu je navrženo břehové opevnění záhozem z lomového kamene. Připouští se přiměřená míra erozně sedimentačních procesů, které vytvoří přírodě blízké </w:t>
      </w:r>
      <w:proofErr w:type="spellStart"/>
      <w:r w:rsidRPr="007A76A5">
        <w:rPr>
          <w:i/>
          <w:iCs/>
        </w:rPr>
        <w:t>hydromorfologické</w:t>
      </w:r>
      <w:proofErr w:type="spellEnd"/>
      <w:r w:rsidRPr="007A76A5">
        <w:rPr>
          <w:i/>
          <w:iCs/>
        </w:rPr>
        <w:t xml:space="preserve"> struktury v korytě. Povrchy svahů a </w:t>
      </w:r>
      <w:proofErr w:type="spellStart"/>
      <w:r w:rsidRPr="007A76A5">
        <w:rPr>
          <w:i/>
          <w:iCs/>
        </w:rPr>
        <w:t>berem</w:t>
      </w:r>
      <w:proofErr w:type="spellEnd"/>
      <w:r w:rsidRPr="007A76A5">
        <w:rPr>
          <w:i/>
          <w:iCs/>
        </w:rPr>
        <w:t xml:space="preserve"> budou osety bylinnou směsí, předpokládá se jejich brzké zpevnění drnem. Navržené řešení opevnění splní jak požadavky na kapacitu a stabilitu koryta, tak významně přispěje k plnění přírodních funkcí toku (úkryty pro živočichy, zvětšení aktivního povrchu koryta atd.). </w:t>
      </w:r>
      <w:r w:rsidR="0059620B">
        <w:rPr>
          <w:i/>
          <w:iCs/>
        </w:rPr>
        <w:t xml:space="preserve">  </w:t>
      </w:r>
      <w:r w:rsidRPr="007A76A5">
        <w:rPr>
          <w:i/>
          <w:iCs/>
        </w:rPr>
        <w:t>(viz také A.04)</w:t>
      </w:r>
    </w:p>
    <w:p w14:paraId="450B528E" w14:textId="77777777" w:rsidR="002F650F" w:rsidRDefault="002F650F">
      <w:pPr>
        <w:pStyle w:val="Bntext"/>
      </w:pPr>
    </w:p>
    <w:p w14:paraId="5E6AF47D" w14:textId="77777777" w:rsidR="002F650F" w:rsidRDefault="008E208F" w:rsidP="00DA6A67">
      <w:pPr>
        <w:pStyle w:val="NadpisC"/>
      </w:pPr>
      <w:r>
        <w:t>2</w:t>
      </w:r>
      <w:r>
        <w:tab/>
      </w:r>
      <w:r w:rsidR="002F650F">
        <w:t>Umístění</w:t>
      </w:r>
    </w:p>
    <w:p w14:paraId="4832569F" w14:textId="77777777" w:rsidR="00D02169" w:rsidRPr="00D02169" w:rsidRDefault="00D02169" w:rsidP="00D02169">
      <w:pPr>
        <w:pStyle w:val="Bntext"/>
      </w:pPr>
      <w:r w:rsidRPr="00BD3DDA">
        <w:rPr>
          <w:noProof/>
        </w:rPr>
        <w:drawing>
          <wp:inline distT="0" distB="0" distL="0" distR="0" wp14:anchorId="62966540" wp14:editId="3EB72A08">
            <wp:extent cx="5397500" cy="2707676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2705" cy="2710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31EB3A" w14:textId="77777777" w:rsidR="00331AEF" w:rsidRDefault="00331AEF" w:rsidP="001E5539">
      <w:pPr>
        <w:pStyle w:val="Bntext"/>
      </w:pPr>
    </w:p>
    <w:p w14:paraId="6C19E543" w14:textId="77777777" w:rsidR="001E5539" w:rsidRDefault="001E5539" w:rsidP="001E5539">
      <w:pPr>
        <w:pStyle w:val="Bntext"/>
      </w:pPr>
      <w:r w:rsidRPr="008534B0">
        <w:t xml:space="preserve">Námět v souladu s ÚP. Koridory vodní a </w:t>
      </w:r>
      <w:proofErr w:type="gramStart"/>
      <w:r w:rsidRPr="008534B0">
        <w:t>vodohospodářské - KW</w:t>
      </w:r>
      <w:proofErr w:type="gramEnd"/>
      <w:r w:rsidRPr="008534B0">
        <w:t>-026</w:t>
      </w:r>
    </w:p>
    <w:p w14:paraId="387D2956" w14:textId="77777777" w:rsidR="001E5539" w:rsidRPr="008534B0" w:rsidRDefault="001E5539" w:rsidP="001E5539">
      <w:pPr>
        <w:pStyle w:val="Bntext"/>
      </w:pPr>
      <w:r w:rsidRPr="008534B0">
        <w:t>Zábory, majetkoprávní vypořádání – pozemek PO.</w:t>
      </w:r>
    </w:p>
    <w:p w14:paraId="34A79498" w14:textId="77777777" w:rsidR="00235460" w:rsidRPr="00ED3333" w:rsidRDefault="001E5539" w:rsidP="001E5539">
      <w:pPr>
        <w:pStyle w:val="Bntext"/>
      </w:pPr>
      <w:r>
        <w:t>K</w:t>
      </w:r>
      <w:r w:rsidRPr="008534B0">
        <w:t>olize s</w:t>
      </w:r>
      <w:r>
        <w:t> </w:t>
      </w:r>
      <w:r w:rsidRPr="008534B0">
        <w:t>infrastrukturou</w:t>
      </w:r>
      <w:r>
        <w:t xml:space="preserve"> – nejsou</w:t>
      </w:r>
      <w:r w:rsidR="000619AA">
        <w:t>.</w:t>
      </w:r>
    </w:p>
    <w:p w14:paraId="1BFC6895" w14:textId="77777777" w:rsidR="002F650F" w:rsidRDefault="008E208F" w:rsidP="00235460">
      <w:pPr>
        <w:pStyle w:val="NadpisC"/>
      </w:pPr>
      <w:r>
        <w:lastRenderedPageBreak/>
        <w:t>3</w:t>
      </w:r>
      <w:r>
        <w:tab/>
      </w:r>
      <w:r w:rsidR="00235460">
        <w:t>Komentář</w:t>
      </w:r>
    </w:p>
    <w:p w14:paraId="3D44DC0B" w14:textId="77777777" w:rsidR="0059620B" w:rsidRDefault="0059620B" w:rsidP="001E5539">
      <w:pPr>
        <w:pStyle w:val="Bntext"/>
      </w:pPr>
      <w:r w:rsidRPr="000619AA">
        <w:rPr>
          <w:noProof/>
        </w:rPr>
        <w:drawing>
          <wp:inline distT="0" distB="0" distL="0" distR="0" wp14:anchorId="13D45052" wp14:editId="531A2458">
            <wp:extent cx="5759450" cy="1822450"/>
            <wp:effectExtent l="0" t="0" r="0" b="635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182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BA6984" w14:textId="77777777" w:rsidR="001E5539" w:rsidRDefault="001E5539" w:rsidP="001E5539">
      <w:pPr>
        <w:pStyle w:val="Bntext"/>
      </w:pPr>
      <w:r>
        <w:t>Řešení je uvedeno na přílohách studie: zpráva A str. 22, situace B.</w:t>
      </w:r>
      <w:proofErr w:type="gramStart"/>
      <w:r>
        <w:t>04b</w:t>
      </w:r>
      <w:proofErr w:type="gramEnd"/>
      <w:r w:rsidR="000619AA">
        <w:t xml:space="preserve"> a v řezech B.1 a B.2</w:t>
      </w:r>
    </w:p>
    <w:p w14:paraId="2B6EA66D" w14:textId="77777777" w:rsidR="002F08DA" w:rsidRPr="00235460" w:rsidRDefault="00331AEF" w:rsidP="00235460">
      <w:pPr>
        <w:pStyle w:val="Bntext"/>
      </w:pPr>
      <w:bookmarkStart w:id="0" w:name="_Hlk35209501"/>
      <w:r>
        <w:t>Obsah námětu je zřejmý, byť se jedná jen o</w:t>
      </w:r>
      <w:r w:rsidR="002F08DA">
        <w:t xml:space="preserve"> ideové řešení</w:t>
      </w:r>
      <w:r>
        <w:t>.</w:t>
      </w:r>
    </w:p>
    <w:bookmarkEnd w:id="0"/>
    <w:p w14:paraId="4EF36349" w14:textId="77777777" w:rsidR="002F650F" w:rsidRDefault="008E208F" w:rsidP="00DA6A67">
      <w:pPr>
        <w:pStyle w:val="NadpisC"/>
      </w:pPr>
      <w:r>
        <w:t>4</w:t>
      </w:r>
      <w:r>
        <w:tab/>
      </w:r>
      <w:r w:rsidR="002F650F">
        <w:t>Hodnocení slučitelnosti námětů s koncepcí PPO</w:t>
      </w:r>
      <w:r w:rsidR="002F08DA" w:rsidRPr="002F08DA">
        <w:t xml:space="preserve"> </w:t>
      </w:r>
      <w:r w:rsidR="002F08DA">
        <w:t>a funkčnosti</w:t>
      </w:r>
    </w:p>
    <w:p w14:paraId="6A34D07E" w14:textId="77777777" w:rsidR="000619AA" w:rsidRDefault="000619AA" w:rsidP="000619AA">
      <w:pPr>
        <w:pStyle w:val="Bntext"/>
      </w:pPr>
      <w:bookmarkStart w:id="1" w:name="_Hlk35168600"/>
      <w:bookmarkStart w:id="2" w:name="_Hlk35016195"/>
      <w:r>
        <w:t xml:space="preserve">Vzhledem k obsahu řady </w:t>
      </w:r>
      <w:r w:rsidR="0059620B">
        <w:t xml:space="preserve">souvisejících </w:t>
      </w:r>
      <w:r>
        <w:t>námětů v úseku B není možné uvádět jejich hodnocení samostatně. Musí být posuzován ucelený návrh příčného uspořádání průtočného profilu a hodnocena kapacita v celém úseku</w:t>
      </w:r>
      <w:r w:rsidR="0059620B">
        <w:t xml:space="preserve"> PPO.</w:t>
      </w:r>
      <w:r>
        <w:t xml:space="preserve"> </w:t>
      </w:r>
    </w:p>
    <w:bookmarkEnd w:id="1"/>
    <w:p w14:paraId="072F5DF9" w14:textId="77777777" w:rsidR="000619AA" w:rsidRDefault="00A06319" w:rsidP="00A06319">
      <w:pPr>
        <w:pStyle w:val="Bntext"/>
      </w:pPr>
      <w:r>
        <w:t xml:space="preserve">Zvýšení členitosti koryta je </w:t>
      </w:r>
      <w:r w:rsidR="00953FC7">
        <w:t xml:space="preserve">v úzké městské trati </w:t>
      </w:r>
      <w:r w:rsidR="00092424">
        <w:t>proble</w:t>
      </w:r>
      <w:r w:rsidR="00CE560B">
        <w:t>m</w:t>
      </w:r>
      <w:r w:rsidR="00092424">
        <w:t>atické</w:t>
      </w:r>
      <w:proofErr w:type="gramStart"/>
      <w:r w:rsidR="00953FC7">
        <w:t xml:space="preserve">. </w:t>
      </w:r>
      <w:r w:rsidR="000E4F87">
        <w:t>.</w:t>
      </w:r>
      <w:proofErr w:type="gramEnd"/>
    </w:p>
    <w:p w14:paraId="3F34D806" w14:textId="77777777" w:rsidR="000E4F87" w:rsidRDefault="00953FC7" w:rsidP="00A06319">
      <w:pPr>
        <w:pStyle w:val="Bntext"/>
      </w:pPr>
      <w:r>
        <w:t>P</w:t>
      </w:r>
      <w:r w:rsidR="00A06319">
        <w:t>odle pův</w:t>
      </w:r>
      <w:r w:rsidR="00D836AE">
        <w:t>odní</w:t>
      </w:r>
      <w:r w:rsidR="00A06319">
        <w:t xml:space="preserve"> koncepce DUR </w:t>
      </w:r>
      <w:r w:rsidR="000E4F87">
        <w:t>nemělo</w:t>
      </w:r>
      <w:r w:rsidR="00A06319">
        <w:t xml:space="preserve"> být do </w:t>
      </w:r>
      <w:proofErr w:type="spellStart"/>
      <w:r w:rsidR="00A06319">
        <w:t>berem</w:t>
      </w:r>
      <w:proofErr w:type="spellEnd"/>
      <w:r w:rsidR="00A06319">
        <w:t xml:space="preserve"> zasahováno. </w:t>
      </w:r>
      <w:r w:rsidR="000E4F87">
        <w:t xml:space="preserve">Dle náměru B.12 </w:t>
      </w:r>
      <w:r w:rsidR="0059620B">
        <w:t xml:space="preserve">by </w:t>
      </w:r>
      <w:r w:rsidR="000E4F87">
        <w:t xml:space="preserve">měl </w:t>
      </w:r>
      <w:r w:rsidR="0059620B">
        <w:t>být</w:t>
      </w:r>
      <w:r w:rsidR="000619AA">
        <w:t xml:space="preserve"> odstraněno </w:t>
      </w:r>
      <w:r w:rsidR="0059620B">
        <w:t xml:space="preserve">existující </w:t>
      </w:r>
      <w:r w:rsidR="000619AA">
        <w:t xml:space="preserve">opevnění svahů </w:t>
      </w:r>
      <w:proofErr w:type="spellStart"/>
      <w:r w:rsidR="000619AA">
        <w:t>berem</w:t>
      </w:r>
      <w:proofErr w:type="spellEnd"/>
      <w:r w:rsidR="000619AA">
        <w:t xml:space="preserve"> a </w:t>
      </w:r>
      <w:r w:rsidR="0059620B">
        <w:t xml:space="preserve">nahrazeno skrytým opevněním blíže břehům. </w:t>
      </w:r>
    </w:p>
    <w:p w14:paraId="69502B5B" w14:textId="77777777" w:rsidR="00331AEF" w:rsidRDefault="0059620B" w:rsidP="00A06319">
      <w:pPr>
        <w:pStyle w:val="Bntext"/>
      </w:pPr>
      <w:bookmarkStart w:id="3" w:name="_Hlk35168669"/>
      <w:r>
        <w:t>Rozsah prací</w:t>
      </w:r>
      <w:r w:rsidR="000E4F87">
        <w:t xml:space="preserve"> související s námětem B.</w:t>
      </w:r>
      <w:r w:rsidR="00E65E8F">
        <w:t>12</w:t>
      </w:r>
      <w:r w:rsidR="000E4F87">
        <w:t xml:space="preserve"> </w:t>
      </w:r>
      <w:r>
        <w:t xml:space="preserve">je </w:t>
      </w:r>
      <w:r w:rsidR="000E4F87">
        <w:t>značný a významně by zvýšil náklady.</w:t>
      </w:r>
    </w:p>
    <w:bookmarkEnd w:id="3"/>
    <w:p w14:paraId="439C1F58" w14:textId="77777777" w:rsidR="0059620B" w:rsidRDefault="0059620B" w:rsidP="00A06319">
      <w:pPr>
        <w:pStyle w:val="Bntext"/>
      </w:pPr>
    </w:p>
    <w:p w14:paraId="576B5247" w14:textId="77777777" w:rsidR="00331AEF" w:rsidRDefault="000619AA" w:rsidP="00A06319">
      <w:pPr>
        <w:pStyle w:val="Bntext"/>
      </w:pPr>
      <w:r w:rsidRPr="000619AA">
        <w:rPr>
          <w:noProof/>
        </w:rPr>
        <w:drawing>
          <wp:inline distT="0" distB="0" distL="0" distR="0" wp14:anchorId="2CF1138B" wp14:editId="37879197">
            <wp:extent cx="5759450" cy="2890520"/>
            <wp:effectExtent l="0" t="0" r="0" b="508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890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40496E" w14:textId="77777777" w:rsidR="0059620B" w:rsidRDefault="0059620B" w:rsidP="00A06319">
      <w:pPr>
        <w:pStyle w:val="Bntext"/>
      </w:pPr>
    </w:p>
    <w:p w14:paraId="7C4DE06B" w14:textId="77777777" w:rsidR="00A06319" w:rsidRDefault="00A06319" w:rsidP="00331AEF">
      <w:pPr>
        <w:pStyle w:val="Bntext"/>
      </w:pPr>
      <w:bookmarkStart w:id="4" w:name="_Hlk34586681"/>
      <w:r>
        <w:t xml:space="preserve">Nelze uvažovat o úpravách, které by mohly </w:t>
      </w:r>
      <w:r w:rsidR="00331AEF">
        <w:t>snížit</w:t>
      </w:r>
      <w:r>
        <w:t xml:space="preserve"> průtočnou kapacitu silničního mostu (km 0,224 dle DUR). Zcela zásadní pro celkovou koncepci PPO Krnov.</w:t>
      </w:r>
      <w:r w:rsidR="0059620B" w:rsidRPr="0059620B">
        <w:t xml:space="preserve"> </w:t>
      </w:r>
      <w:r w:rsidR="000E4F87">
        <w:t>Námět by zvýšil riziko</w:t>
      </w:r>
      <w:r w:rsidR="0059620B">
        <w:t xml:space="preserve"> postupného omezování kapacity.</w:t>
      </w:r>
      <w:r w:rsidR="000E4F87">
        <w:t xml:space="preserve"> Sedimentační procesy jsou v úzké městské trati nevhodné.</w:t>
      </w:r>
    </w:p>
    <w:p w14:paraId="52A75272" w14:textId="77777777" w:rsidR="00A06319" w:rsidRDefault="000E4F87" w:rsidP="00331AEF">
      <w:pPr>
        <w:pStyle w:val="Bntext"/>
      </w:pPr>
      <w:r>
        <w:t xml:space="preserve">Podstatou </w:t>
      </w:r>
      <w:r w:rsidR="00C31DCF">
        <w:t xml:space="preserve">námětu B.12 </w:t>
      </w:r>
      <w:r>
        <w:t xml:space="preserve">je </w:t>
      </w:r>
      <w:r w:rsidR="00C31DCF">
        <w:t>do určité míry iniciace přirozeného vývoje koryta. Námět B.12</w:t>
      </w:r>
      <w:r w:rsidR="00A06319">
        <w:t xml:space="preserve"> </w:t>
      </w:r>
      <w:r w:rsidR="00C31DCF">
        <w:t>nezaručí</w:t>
      </w:r>
      <w:r w:rsidR="00A06319">
        <w:t xml:space="preserve"> trval</w:t>
      </w:r>
      <w:r w:rsidR="00C31DCF">
        <w:t>é</w:t>
      </w:r>
      <w:r w:rsidR="00A06319">
        <w:t xml:space="preserve"> </w:t>
      </w:r>
      <w:r w:rsidR="00C31DCF">
        <w:t xml:space="preserve">dosažení </w:t>
      </w:r>
      <w:r>
        <w:t xml:space="preserve">výchozích </w:t>
      </w:r>
      <w:r w:rsidR="00C31DCF">
        <w:t xml:space="preserve">průtočných </w:t>
      </w:r>
      <w:r>
        <w:t>parametr</w:t>
      </w:r>
      <w:r w:rsidR="00C31DCF">
        <w:t>ů</w:t>
      </w:r>
      <w:r w:rsidR="00A06319">
        <w:t xml:space="preserve">, </w:t>
      </w:r>
      <w:r w:rsidR="00C31DCF">
        <w:t>vývoj by bylo třeba monitorovat a periodicky nebo po povodních provést korekční zásahy.</w:t>
      </w:r>
    </w:p>
    <w:bookmarkEnd w:id="2"/>
    <w:bookmarkEnd w:id="4"/>
    <w:p w14:paraId="7812B6B4" w14:textId="77777777" w:rsidR="002F650F" w:rsidRDefault="008E208F" w:rsidP="00DA6A67">
      <w:pPr>
        <w:pStyle w:val="NadpisC"/>
      </w:pPr>
      <w:r>
        <w:lastRenderedPageBreak/>
        <w:t>5</w:t>
      </w:r>
      <w:r>
        <w:tab/>
      </w:r>
      <w:r w:rsidR="005B07AF">
        <w:t>V</w:t>
      </w:r>
      <w:r w:rsidR="002F650F" w:rsidRPr="00ED3333">
        <w:t>liv na dosažení požadovaných kapacit PPO</w:t>
      </w:r>
    </w:p>
    <w:p w14:paraId="00F808B0" w14:textId="77777777" w:rsidR="00F25FDF" w:rsidRPr="00B30BD0" w:rsidRDefault="00F25FDF" w:rsidP="00F25FDF">
      <w:pPr>
        <w:pStyle w:val="Bntext"/>
      </w:pPr>
      <w:bookmarkStart w:id="5" w:name="_Hlk34999081"/>
      <w:r>
        <w:t>Lze navrhnout jako neutrální, ovšem lze očekávat problémy s udržitelností.</w:t>
      </w:r>
      <w:r w:rsidR="00CE560B">
        <w:t xml:space="preserve"> </w:t>
      </w:r>
      <w:r w:rsidR="00CE560B" w:rsidRPr="00B30BD0">
        <w:t>Z důvodu možného postupného a při povodni skokového snižování kapacity koryta hodnotíme vliv jako negativní.</w:t>
      </w:r>
    </w:p>
    <w:bookmarkEnd w:id="5"/>
    <w:p w14:paraId="4671EDA0" w14:textId="77777777" w:rsidR="002F650F" w:rsidRPr="00B30BD0" w:rsidRDefault="008E208F" w:rsidP="00DA6A67">
      <w:pPr>
        <w:pStyle w:val="NadpisC"/>
      </w:pPr>
      <w:r w:rsidRPr="00B30BD0">
        <w:t>6</w:t>
      </w:r>
      <w:r w:rsidRPr="00B30BD0">
        <w:tab/>
      </w:r>
      <w:r w:rsidR="00ED3333" w:rsidRPr="00B30BD0">
        <w:t>M</w:t>
      </w:r>
      <w:r w:rsidR="002F650F" w:rsidRPr="00B30BD0">
        <w:t xml:space="preserve">ožnost adaptace </w:t>
      </w:r>
      <w:r w:rsidR="00DA6A67" w:rsidRPr="00B30BD0">
        <w:t xml:space="preserve">z hlediska </w:t>
      </w:r>
      <w:r w:rsidR="002F650F" w:rsidRPr="00B30BD0">
        <w:t>slučitel</w:t>
      </w:r>
      <w:r w:rsidR="00DA6A67" w:rsidRPr="00B30BD0">
        <w:t>nosti</w:t>
      </w:r>
      <w:r w:rsidR="002F650F" w:rsidRPr="00B30BD0">
        <w:t xml:space="preserve"> s koncepcí PPO</w:t>
      </w:r>
      <w:r w:rsidR="00DA6A67" w:rsidRPr="00B30BD0">
        <w:t xml:space="preserve"> </w:t>
      </w:r>
    </w:p>
    <w:p w14:paraId="1BB5FAFB" w14:textId="77777777" w:rsidR="00CE560B" w:rsidRPr="00B30BD0" w:rsidRDefault="00CE560B" w:rsidP="00CE560B">
      <w:pPr>
        <w:pStyle w:val="Bntext"/>
      </w:pPr>
      <w:bookmarkStart w:id="6" w:name="_Hlk34999140"/>
      <w:r w:rsidRPr="00B30BD0">
        <w:t>Požadavky na dlouhodobé udržení kapacity a přirozenější vývoj koryta jsou do značné míry protichůdné.</w:t>
      </w:r>
    </w:p>
    <w:bookmarkEnd w:id="6"/>
    <w:p w14:paraId="2F6A24AF" w14:textId="77777777" w:rsidR="002F650F" w:rsidRPr="00B30BD0" w:rsidRDefault="007A41FB" w:rsidP="00DA6A67">
      <w:pPr>
        <w:pStyle w:val="NadpisC"/>
      </w:pPr>
      <w:r w:rsidRPr="00B30BD0">
        <w:t>7</w:t>
      </w:r>
      <w:r w:rsidRPr="00B30BD0">
        <w:tab/>
      </w:r>
      <w:r w:rsidR="00ED3333" w:rsidRPr="00B30BD0">
        <w:t>Z</w:t>
      </w:r>
      <w:r w:rsidR="002F650F" w:rsidRPr="00B30BD0">
        <w:t>hodnocení provozních hledis</w:t>
      </w:r>
      <w:r w:rsidR="00953FC7" w:rsidRPr="00B30BD0">
        <w:t>ek z pohledu investora PPO</w:t>
      </w:r>
    </w:p>
    <w:p w14:paraId="160E1B94" w14:textId="77777777" w:rsidR="00CE560B" w:rsidRPr="00B30BD0" w:rsidRDefault="00CE560B" w:rsidP="00CE560B">
      <w:pPr>
        <w:pStyle w:val="Bntext"/>
      </w:pPr>
      <w:bookmarkStart w:id="7" w:name="_Hlk34999708"/>
      <w:r w:rsidRPr="00B30BD0">
        <w:t xml:space="preserve">Navrhované opatření prakticky znamená ponechat v řece Opavě přirozený vývoj bez údržby. To není možné z důvodu bezpečnosti (boční a dnová eroze) a garantování převedení návrhového průtoku při návrhové hladině městskou tratí. Podle správce toku a investora opatření na Horní Opavě navrhovaný typ opevnění nepatří do městské trati. </w:t>
      </w:r>
    </w:p>
    <w:bookmarkEnd w:id="7"/>
    <w:p w14:paraId="3644B39D" w14:textId="77777777" w:rsidR="002F650F" w:rsidRDefault="007A41FB" w:rsidP="00DA6A67">
      <w:pPr>
        <w:pStyle w:val="NadpisC"/>
      </w:pPr>
      <w:r>
        <w:t>8</w:t>
      </w:r>
      <w:r>
        <w:tab/>
      </w:r>
      <w:r w:rsidR="00092424">
        <w:t>S</w:t>
      </w:r>
      <w:r w:rsidR="002F650F">
        <w:t xml:space="preserve">tanovisko </w:t>
      </w:r>
      <w:r w:rsidR="00DA6A67">
        <w:t>investora PPO</w:t>
      </w:r>
    </w:p>
    <w:p w14:paraId="04AB6661" w14:textId="77777777" w:rsidR="00DA6A67" w:rsidRDefault="002E434F" w:rsidP="00DA6A67">
      <w:pPr>
        <w:pStyle w:val="Bntext"/>
      </w:pPr>
      <w:r w:rsidRPr="002C4022">
        <w:t>S opatřením Povodí Odry, státní podnik nesouhlasí</w:t>
      </w:r>
      <w:r>
        <w:t xml:space="preserve">. </w:t>
      </w:r>
      <w:r w:rsidR="00D4166C" w:rsidRPr="00D4166C">
        <w:t>Nelze akceptovat z důvodů kapacity,</w:t>
      </w:r>
      <w:r w:rsidR="00306899">
        <w:t xml:space="preserve"> </w:t>
      </w:r>
      <w:r w:rsidR="00D4166C" w:rsidRPr="00D4166C">
        <w:t>životnosti, údržby, estetiky v městské trati</w:t>
      </w:r>
      <w:r w:rsidR="00D4166C">
        <w:t>.</w:t>
      </w:r>
    </w:p>
    <w:p w14:paraId="3E8350A2" w14:textId="77777777" w:rsidR="00092424" w:rsidRPr="00125B3F" w:rsidRDefault="00092424" w:rsidP="00092424">
      <w:pPr>
        <w:pStyle w:val="Bntext"/>
      </w:pPr>
      <w:r w:rsidRPr="00125B3F">
        <w:t xml:space="preserve">Z hlediska investorství </w:t>
      </w:r>
      <w:r w:rsidR="001F7E30" w:rsidRPr="00125B3F">
        <w:rPr>
          <w:b/>
          <w:bCs/>
        </w:rPr>
        <w:t>Typ 5</w:t>
      </w:r>
      <w:r w:rsidR="001F7E30" w:rsidRPr="00125B3F">
        <w:t xml:space="preserve"> – odmítaný námět. </w:t>
      </w:r>
    </w:p>
    <w:p w14:paraId="4EB935EF" w14:textId="77777777" w:rsidR="002F650F" w:rsidRDefault="00953FC7" w:rsidP="00DA6A67">
      <w:pPr>
        <w:pStyle w:val="NadpisC"/>
      </w:pPr>
      <w:r>
        <w:t>9</w:t>
      </w:r>
      <w:r w:rsidR="007A41FB">
        <w:tab/>
      </w:r>
      <w:r w:rsidR="00DA6A67">
        <w:t>N</w:t>
      </w:r>
      <w:r w:rsidR="002F650F">
        <w:t xml:space="preserve">ávrh </w:t>
      </w:r>
      <w:r w:rsidR="00DA6A67">
        <w:t xml:space="preserve">zásad </w:t>
      </w:r>
      <w:r w:rsidR="002F650F">
        <w:t xml:space="preserve">koordinace přípravy a realizace </w:t>
      </w:r>
    </w:p>
    <w:p w14:paraId="3256FEEC" w14:textId="77777777" w:rsidR="00E51435" w:rsidRPr="001F7E30" w:rsidRDefault="00E51435" w:rsidP="002F650F">
      <w:bookmarkStart w:id="8" w:name="_Hlk41919050"/>
      <w:bookmarkStart w:id="9" w:name="_Hlk35097533"/>
      <w:r w:rsidRPr="001F7E30">
        <w:t>Námět nebude zařazen do DUR.</w:t>
      </w:r>
    </w:p>
    <w:p w14:paraId="4E7E6931" w14:textId="245F2D08" w:rsidR="001E52AF" w:rsidRDefault="001E52AF" w:rsidP="002F650F">
      <w:bookmarkStart w:id="10" w:name="_Hlk41987956"/>
      <w:bookmarkEnd w:id="8"/>
      <w:r>
        <w:t xml:space="preserve">Úpravy kynety koryta nebyly součástí DUR PPO, mimo vyčištění dna od nánosů v některých úsecích. </w:t>
      </w:r>
      <w:bookmarkEnd w:id="9"/>
      <w:bookmarkEnd w:id="10"/>
    </w:p>
    <w:p w14:paraId="724F55C8" w14:textId="4EE970ED" w:rsidR="00D142EB" w:rsidRDefault="00D142EB" w:rsidP="002F650F"/>
    <w:tbl>
      <w:tblPr>
        <w:tblStyle w:val="Mkatabulky"/>
        <w:tblW w:w="0" w:type="auto"/>
        <w:tblBorders>
          <w:top w:val="single" w:sz="4" w:space="0" w:color="FF0000"/>
          <w:left w:val="single" w:sz="4" w:space="0" w:color="FF0000"/>
          <w:bottom w:val="single" w:sz="4" w:space="0" w:color="FF0000"/>
          <w:right w:val="single" w:sz="4" w:space="0" w:color="FF0000"/>
          <w:insideH w:val="single" w:sz="4" w:space="0" w:color="FF0000"/>
          <w:insideV w:val="single" w:sz="4" w:space="0" w:color="FF0000"/>
        </w:tblBorders>
        <w:tblLook w:val="04A0" w:firstRow="1" w:lastRow="0" w:firstColumn="1" w:lastColumn="0" w:noHBand="0" w:noVBand="1"/>
      </w:tblPr>
      <w:tblGrid>
        <w:gridCol w:w="9062"/>
      </w:tblGrid>
      <w:tr w:rsidR="00760CF2" w:rsidRPr="00ED5BBD" w14:paraId="77050C00" w14:textId="77777777" w:rsidTr="00BC25DC">
        <w:tc>
          <w:tcPr>
            <w:tcW w:w="9062" w:type="dxa"/>
            <w:shd w:val="clear" w:color="auto" w:fill="F2F2F2" w:themeFill="background1" w:themeFillShade="F2"/>
            <w:hideMark/>
          </w:tcPr>
          <w:p w14:paraId="29C49E99" w14:textId="77777777" w:rsidR="00760CF2" w:rsidRPr="00ED5BBD" w:rsidRDefault="00760CF2" w:rsidP="00BC25DC">
            <w:pPr>
              <w:rPr>
                <w:rFonts w:cs="Arial"/>
                <w:b/>
                <w:bCs/>
                <w:color w:val="FF0000"/>
                <w:szCs w:val="20"/>
              </w:rPr>
            </w:pPr>
            <w:bookmarkStart w:id="11" w:name="_Hlk48577253"/>
            <w:r w:rsidRPr="00ED5BBD">
              <w:rPr>
                <w:rFonts w:cs="Arial"/>
                <w:b/>
                <w:bCs/>
                <w:color w:val="FF0000"/>
                <w:sz w:val="24"/>
              </w:rPr>
              <w:t>ZÁVĚR</w:t>
            </w:r>
          </w:p>
        </w:tc>
      </w:tr>
      <w:tr w:rsidR="00760CF2" w:rsidRPr="00ED5BBD" w14:paraId="581DA172" w14:textId="77777777" w:rsidTr="00BC25DC">
        <w:tc>
          <w:tcPr>
            <w:tcW w:w="9062" w:type="dxa"/>
            <w:hideMark/>
          </w:tcPr>
          <w:p w14:paraId="1526D7A2" w14:textId="30F36D19" w:rsidR="00760CF2" w:rsidRDefault="00760CF2" w:rsidP="00760CF2">
            <w:pPr>
              <w:pStyle w:val="Bntext"/>
              <w:jc w:val="left"/>
              <w:rPr>
                <w:color w:val="FF0000"/>
                <w:szCs w:val="20"/>
              </w:rPr>
            </w:pPr>
            <w:r>
              <w:rPr>
                <w:color w:val="FF0000"/>
                <w:szCs w:val="20"/>
              </w:rPr>
              <w:t>b</w:t>
            </w:r>
            <w:r>
              <w:rPr>
                <w:color w:val="FF0000"/>
                <w:szCs w:val="20"/>
              </w:rPr>
              <w:t>ylo dohodnuto:</w:t>
            </w:r>
          </w:p>
          <w:p w14:paraId="0E2B0C0A" w14:textId="77777777" w:rsidR="00760CF2" w:rsidRDefault="00760CF2" w:rsidP="00760CF2">
            <w:pPr>
              <w:pStyle w:val="Bntext"/>
              <w:jc w:val="left"/>
              <w:rPr>
                <w:color w:val="FF0000"/>
                <w:szCs w:val="20"/>
              </w:rPr>
            </w:pPr>
            <w:r>
              <w:rPr>
                <w:color w:val="FF0000"/>
                <w:szCs w:val="20"/>
              </w:rPr>
              <w:t xml:space="preserve">_ </w:t>
            </w:r>
            <w:proofErr w:type="spellStart"/>
            <w:r>
              <w:rPr>
                <w:color w:val="FF0000"/>
                <w:szCs w:val="20"/>
              </w:rPr>
              <w:t>Aquatis</w:t>
            </w:r>
            <w:proofErr w:type="spellEnd"/>
            <w:r>
              <w:rPr>
                <w:color w:val="FF0000"/>
                <w:szCs w:val="20"/>
              </w:rPr>
              <w:t xml:space="preserve"> zajistí: návrh břehové hrany (B.12) a městské pláže (B.14), koordinaci s celkovým architektonickým řešením (viz B.01)</w:t>
            </w:r>
          </w:p>
          <w:p w14:paraId="2479993A" w14:textId="77777777" w:rsidR="00760CF2" w:rsidRDefault="00760CF2" w:rsidP="00760CF2">
            <w:pPr>
              <w:pStyle w:val="Bntext"/>
              <w:jc w:val="left"/>
              <w:rPr>
                <w:color w:val="FF0000"/>
                <w:szCs w:val="20"/>
              </w:rPr>
            </w:pPr>
            <w:r>
              <w:rPr>
                <w:color w:val="FF0000"/>
                <w:szCs w:val="20"/>
              </w:rPr>
              <w:t>_ technický návrh: kombinace těžkého záhozu překrytého štěrkem a zmírnění sklonu svahu</w:t>
            </w:r>
          </w:p>
          <w:p w14:paraId="7C55776E" w14:textId="77777777" w:rsidR="00760CF2" w:rsidRPr="00ED5BBD" w:rsidRDefault="00760CF2" w:rsidP="00BC25DC">
            <w:pPr>
              <w:pStyle w:val="Bntext"/>
              <w:rPr>
                <w:rFonts w:cs="Arial"/>
                <w:color w:val="FF0000"/>
                <w:szCs w:val="20"/>
              </w:rPr>
            </w:pPr>
          </w:p>
          <w:p w14:paraId="75D3C446" w14:textId="77777777" w:rsidR="00760CF2" w:rsidRPr="00ED5BBD" w:rsidRDefault="00760CF2" w:rsidP="00BC25DC">
            <w:pPr>
              <w:rPr>
                <w:rFonts w:cs="Arial"/>
                <w:color w:val="FF0000"/>
                <w:szCs w:val="20"/>
              </w:rPr>
            </w:pPr>
          </w:p>
        </w:tc>
      </w:tr>
      <w:tr w:rsidR="00760CF2" w:rsidRPr="00ED5BBD" w14:paraId="17C1268F" w14:textId="77777777" w:rsidTr="00BC25DC">
        <w:tc>
          <w:tcPr>
            <w:tcW w:w="9062" w:type="dxa"/>
            <w:shd w:val="clear" w:color="auto" w:fill="auto"/>
          </w:tcPr>
          <w:p w14:paraId="03C78189" w14:textId="77777777" w:rsidR="00760CF2" w:rsidRPr="00ED5BBD" w:rsidRDefault="00760CF2" w:rsidP="00BC25DC">
            <w:pPr>
              <w:rPr>
                <w:rFonts w:cs="Arial"/>
                <w:color w:val="FF0000"/>
                <w:szCs w:val="20"/>
              </w:rPr>
            </w:pPr>
            <w:r w:rsidRPr="00ED5BBD">
              <w:rPr>
                <w:rFonts w:cs="Arial"/>
                <w:i/>
                <w:iCs/>
                <w:color w:val="FF0000"/>
                <w:szCs w:val="20"/>
              </w:rPr>
              <w:t xml:space="preserve">pozn.: závěr vychází z konzultací ke koordinaci záměru Studie „Krnov: Řeka ve městě“ a projektové dokumentace DUR stavby OHO 02.090, Opatření Krnov-město, konaných 6.8.2020 a 14.8.2020 v kanceláři fy. </w:t>
            </w:r>
            <w:proofErr w:type="spellStart"/>
            <w:r w:rsidRPr="00ED5BBD">
              <w:rPr>
                <w:rFonts w:cs="Arial"/>
                <w:i/>
                <w:iCs/>
                <w:color w:val="FF0000"/>
                <w:szCs w:val="20"/>
              </w:rPr>
              <w:t>Aquatis</w:t>
            </w:r>
            <w:proofErr w:type="spellEnd"/>
            <w:r w:rsidRPr="00ED5BBD">
              <w:rPr>
                <w:rFonts w:cs="Arial"/>
                <w:i/>
                <w:iCs/>
                <w:color w:val="FF0000"/>
                <w:szCs w:val="20"/>
              </w:rPr>
              <w:t xml:space="preserve">, a.s. za účasti zástupců fy. </w:t>
            </w:r>
            <w:proofErr w:type="spellStart"/>
            <w:r w:rsidRPr="00ED5BBD">
              <w:rPr>
                <w:rFonts w:cs="Arial"/>
                <w:i/>
                <w:iCs/>
                <w:color w:val="FF0000"/>
                <w:szCs w:val="20"/>
              </w:rPr>
              <w:t>Aquatis</w:t>
            </w:r>
            <w:proofErr w:type="spellEnd"/>
            <w:r w:rsidRPr="00ED5BBD">
              <w:rPr>
                <w:rFonts w:cs="Arial"/>
                <w:i/>
                <w:iCs/>
                <w:color w:val="FF0000"/>
                <w:szCs w:val="20"/>
              </w:rPr>
              <w:t xml:space="preserve">, a.s. (Švancara, Mikulášek) a týmu Studie „Krnov: řeka ve městě“ (Machovský, Ondruška, Atelier </w:t>
            </w:r>
            <w:proofErr w:type="spellStart"/>
            <w:r w:rsidRPr="00ED5BBD">
              <w:rPr>
                <w:rFonts w:cs="Arial"/>
                <w:i/>
                <w:iCs/>
                <w:color w:val="FF0000"/>
                <w:szCs w:val="20"/>
              </w:rPr>
              <w:t>Fontes</w:t>
            </w:r>
            <w:proofErr w:type="spellEnd"/>
            <w:r w:rsidRPr="00ED5BBD">
              <w:rPr>
                <w:rFonts w:cs="Arial"/>
                <w:i/>
                <w:iCs/>
                <w:color w:val="FF0000"/>
                <w:szCs w:val="20"/>
              </w:rPr>
              <w:t>, s.r.o. – Havlíček, Řiháček)</w:t>
            </w:r>
          </w:p>
        </w:tc>
      </w:tr>
      <w:bookmarkEnd w:id="11"/>
    </w:tbl>
    <w:p w14:paraId="1F8B2664" w14:textId="77777777" w:rsidR="00760CF2" w:rsidRDefault="00760CF2" w:rsidP="00880137">
      <w:pPr>
        <w:pStyle w:val="NadpisC"/>
        <w:spacing w:before="60"/>
        <w:rPr>
          <w:color w:val="FF0000"/>
        </w:rPr>
      </w:pPr>
    </w:p>
    <w:p w14:paraId="51447D63" w14:textId="77777777" w:rsidR="00F54DD7" w:rsidRDefault="00F54DD7" w:rsidP="00D142EB">
      <w:pPr>
        <w:pStyle w:val="Bntext"/>
        <w:rPr>
          <w:color w:val="FF0000"/>
          <w:szCs w:val="20"/>
        </w:rPr>
      </w:pPr>
    </w:p>
    <w:p w14:paraId="6C9E0FF5" w14:textId="77777777" w:rsidR="00D142EB" w:rsidRDefault="00D142EB" w:rsidP="002F650F"/>
    <w:sectPr w:rsidR="00D142EB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18" w:right="1418" w:bottom="1418" w:left="1418" w:header="851" w:footer="31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622C77A" w14:textId="77777777" w:rsidR="00AA64E5" w:rsidRDefault="00AA64E5">
      <w:r>
        <w:separator/>
      </w:r>
    </w:p>
  </w:endnote>
  <w:endnote w:type="continuationSeparator" w:id="0">
    <w:p w14:paraId="7F0BA895" w14:textId="77777777" w:rsidR="00AA64E5" w:rsidRDefault="00AA64E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45965FE" w14:textId="77777777" w:rsidR="005A5C22" w:rsidRDefault="005A5C22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605"/>
      <w:gridCol w:w="4605"/>
    </w:tblGrid>
    <w:tr w:rsidR="00BE0FEB" w14:paraId="3D0635B4" w14:textId="77777777">
      <w:trPr>
        <w:cantSplit/>
      </w:trPr>
      <w:tc>
        <w:tcPr>
          <w:tcW w:w="9210" w:type="dxa"/>
          <w:gridSpan w:val="2"/>
          <w:tcBorders>
            <w:bottom w:val="single" w:sz="4" w:space="0" w:color="auto"/>
          </w:tcBorders>
        </w:tcPr>
        <w:p w14:paraId="3E5AD0BA" w14:textId="77777777" w:rsidR="00BE0FEB" w:rsidRDefault="00BE0FEB" w:rsidP="001E1F3D">
          <w:pPr>
            <w:pStyle w:val="Zpat"/>
          </w:pPr>
          <w:r>
            <w:t xml:space="preserve">Copyright </w:t>
          </w:r>
          <w:r>
            <w:rPr>
              <w:rFonts w:cs="Arial"/>
              <w:sz w:val="26"/>
              <w:szCs w:val="26"/>
            </w:rPr>
            <w:t xml:space="preserve">© </w:t>
          </w:r>
          <w:r w:rsidR="001E1F3D">
            <w:rPr>
              <w:rFonts w:ascii="Helv" w:hAnsi="Helv"/>
              <w:color w:val="000000"/>
              <w:szCs w:val="20"/>
            </w:rPr>
            <w:t>AQUATIS</w:t>
          </w:r>
          <w:r>
            <w:rPr>
              <w:rFonts w:ascii="Helv" w:hAnsi="Helv"/>
              <w:color w:val="000000"/>
              <w:szCs w:val="20"/>
            </w:rPr>
            <w:t xml:space="preserve"> a.s.</w:t>
          </w:r>
        </w:p>
      </w:tc>
    </w:tr>
    <w:tr w:rsidR="00BE0FEB" w14:paraId="7ACB4D52" w14:textId="77777777">
      <w:tc>
        <w:tcPr>
          <w:tcW w:w="4605" w:type="dxa"/>
          <w:tcBorders>
            <w:top w:val="single" w:sz="4" w:space="0" w:color="auto"/>
          </w:tcBorders>
        </w:tcPr>
        <w:p w14:paraId="324714D5" w14:textId="5A6F1CD1" w:rsidR="00BE0FEB" w:rsidRDefault="00AA64E5">
          <w:pPr>
            <w:pStyle w:val="Zpat"/>
          </w:pPr>
          <w:r>
            <w:fldChar w:fldCharType="begin"/>
          </w:r>
          <w:r>
            <w:instrText xml:space="preserve"> FILENAME  \* MERGEFORMAT </w:instrText>
          </w:r>
          <w:r>
            <w:fldChar w:fldCharType="separate"/>
          </w:r>
          <w:r w:rsidR="005A5C22">
            <w:rPr>
              <w:noProof/>
            </w:rPr>
            <w:t>B_12+zaver 08-2020.docx</w:t>
          </w:r>
          <w:r>
            <w:rPr>
              <w:noProof/>
            </w:rPr>
            <w:fldChar w:fldCharType="end"/>
          </w:r>
        </w:p>
      </w:tc>
      <w:tc>
        <w:tcPr>
          <w:tcW w:w="4605" w:type="dxa"/>
          <w:tcBorders>
            <w:top w:val="single" w:sz="4" w:space="0" w:color="auto"/>
          </w:tcBorders>
          <w:vAlign w:val="bottom"/>
        </w:tcPr>
        <w:p w14:paraId="6BF6EC12" w14:textId="77777777" w:rsidR="00BE0FEB" w:rsidRDefault="00BE0FEB">
          <w:pPr>
            <w:pStyle w:val="Zpat"/>
            <w:jc w:val="right"/>
          </w:pPr>
          <w:r>
            <w:t xml:space="preserve">strana </w:t>
          </w:r>
          <w:r>
            <w:fldChar w:fldCharType="begin"/>
          </w:r>
          <w:r>
            <w:instrText xml:space="preserve"> PAGE </w:instrText>
          </w:r>
          <w:r>
            <w:fldChar w:fldCharType="separate"/>
          </w:r>
          <w:r w:rsidR="00F47CD8">
            <w:rPr>
              <w:noProof/>
            </w:rPr>
            <w:t>3</w:t>
          </w:r>
          <w:r>
            <w:fldChar w:fldCharType="end"/>
          </w:r>
        </w:p>
      </w:tc>
    </w:tr>
  </w:tbl>
  <w:p w14:paraId="64623A73" w14:textId="77777777" w:rsidR="00BE0FEB" w:rsidRDefault="00BE0FEB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BD4475E" w14:textId="77777777" w:rsidR="005A5C22" w:rsidRDefault="005A5C22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C4A7AD2" w14:textId="77777777" w:rsidR="00AA64E5" w:rsidRDefault="00AA64E5">
      <w:r>
        <w:separator/>
      </w:r>
    </w:p>
  </w:footnote>
  <w:footnote w:type="continuationSeparator" w:id="0">
    <w:p w14:paraId="1998187F" w14:textId="77777777" w:rsidR="00AA64E5" w:rsidRDefault="00AA64E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B7FBF8F" w14:textId="77777777" w:rsidR="005A5C22" w:rsidRDefault="005A5C22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Ind w:w="-72" w:type="dxa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677"/>
      <w:gridCol w:w="4605"/>
    </w:tblGrid>
    <w:tr w:rsidR="00BC0753" w14:paraId="135908EC" w14:textId="77777777" w:rsidTr="002F650F">
      <w:tc>
        <w:tcPr>
          <w:tcW w:w="4677" w:type="dxa"/>
          <w:tcBorders>
            <w:bottom w:val="single" w:sz="4" w:space="0" w:color="auto"/>
          </w:tcBorders>
        </w:tcPr>
        <w:p w14:paraId="5C415FE5" w14:textId="77777777" w:rsidR="00BC0753" w:rsidRDefault="00101B48" w:rsidP="00BC0753">
          <w:pPr>
            <w:pStyle w:val="Zhlav"/>
          </w:pPr>
          <w:r>
            <w:t>List opatření</w:t>
          </w:r>
        </w:p>
      </w:tc>
      <w:tc>
        <w:tcPr>
          <w:tcW w:w="4605" w:type="dxa"/>
          <w:tcBorders>
            <w:bottom w:val="single" w:sz="4" w:space="0" w:color="auto"/>
          </w:tcBorders>
          <w:vAlign w:val="bottom"/>
        </w:tcPr>
        <w:p w14:paraId="5308CACD" w14:textId="77777777" w:rsidR="00BC0753" w:rsidRDefault="00BC0753" w:rsidP="00BC0753">
          <w:pPr>
            <w:pStyle w:val="Zhlav"/>
            <w:jc w:val="right"/>
          </w:pPr>
          <w:r w:rsidRPr="005972D8">
            <w:t>Posouzení návrhu řešení města Krnov</w:t>
          </w:r>
          <w:r>
            <w:t>a</w:t>
          </w:r>
          <w:r w:rsidRPr="005972D8">
            <w:t xml:space="preserve"> </w:t>
          </w:r>
          <w:r>
            <w:br/>
          </w:r>
          <w:r w:rsidRPr="005972D8">
            <w:t>podle studie "Krnov: Řeka ve městě"</w:t>
          </w:r>
        </w:p>
      </w:tc>
    </w:tr>
    <w:tr w:rsidR="00BE0FEB" w14:paraId="005F2F9F" w14:textId="77777777" w:rsidTr="002F650F">
      <w:trPr>
        <w:cantSplit/>
      </w:trPr>
      <w:tc>
        <w:tcPr>
          <w:tcW w:w="9282" w:type="dxa"/>
          <w:gridSpan w:val="2"/>
          <w:tcBorders>
            <w:top w:val="single" w:sz="4" w:space="0" w:color="auto"/>
            <w:bottom w:val="nil"/>
          </w:tcBorders>
        </w:tcPr>
        <w:p w14:paraId="59B7EF2B" w14:textId="77777777" w:rsidR="00BE0FEB" w:rsidRDefault="00545573">
          <w:pPr>
            <w:pStyle w:val="Zhlav"/>
            <w:jc w:val="right"/>
          </w:pPr>
          <w:proofErr w:type="gramStart"/>
          <w:r>
            <w:t>20044A</w:t>
          </w:r>
          <w:proofErr w:type="gramEnd"/>
        </w:p>
      </w:tc>
    </w:tr>
  </w:tbl>
  <w:p w14:paraId="5EB2A8EC" w14:textId="77777777" w:rsidR="00BE0FEB" w:rsidRDefault="00BE0FEB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8C10D45" w14:textId="77777777" w:rsidR="005A5C22" w:rsidRDefault="005A5C22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E"/>
    <w:multiLevelType w:val="singleLevel"/>
    <w:tmpl w:val="FC2CBE5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1" w15:restartNumberingAfterBreak="0">
    <w:nsid w:val="FFFFFF7F"/>
    <w:multiLevelType w:val="singleLevel"/>
    <w:tmpl w:val="0F20B8A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2" w15:restartNumberingAfterBreak="0">
    <w:nsid w:val="FFFFFF82"/>
    <w:multiLevelType w:val="singleLevel"/>
    <w:tmpl w:val="2438FC38"/>
    <w:lvl w:ilvl="0">
      <w:start w:val="1"/>
      <w:numFmt w:val="bullet"/>
      <w:pStyle w:val="Seznamsodrkami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3" w15:restartNumberingAfterBreak="0">
    <w:nsid w:val="FFFFFF83"/>
    <w:multiLevelType w:val="singleLevel"/>
    <w:tmpl w:val="66A2B2D0"/>
    <w:lvl w:ilvl="0">
      <w:start w:val="1"/>
      <w:numFmt w:val="bullet"/>
      <w:pStyle w:val="Seznamsodrkami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4" w15:restartNumberingAfterBreak="0">
    <w:nsid w:val="FFFFFF88"/>
    <w:multiLevelType w:val="singleLevel"/>
    <w:tmpl w:val="45C2A69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 w15:restartNumberingAfterBreak="0">
    <w:nsid w:val="FFFFFF89"/>
    <w:multiLevelType w:val="singleLevel"/>
    <w:tmpl w:val="F466B274"/>
    <w:lvl w:ilvl="0">
      <w:start w:val="1"/>
      <w:numFmt w:val="bullet"/>
      <w:pStyle w:val="Seznamsodrkami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 w15:restartNumberingAfterBreak="0">
    <w:nsid w:val="4F3A3C96"/>
    <w:multiLevelType w:val="hybridMultilevel"/>
    <w:tmpl w:val="26B43D9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D8452E4"/>
    <w:multiLevelType w:val="multilevel"/>
    <w:tmpl w:val="63E00C6E"/>
    <w:lvl w:ilvl="0">
      <w:start w:val="1"/>
      <w:numFmt w:val="decimal"/>
      <w:pStyle w:val="Nadpis1"/>
      <w:lvlText w:val="%1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1080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440"/>
        </w:tabs>
        <w:ind w:left="851" w:hanging="851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0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1584" w:hanging="1584"/>
      </w:pPr>
      <w:rPr>
        <w:rFonts w:hint="default"/>
      </w:rPr>
    </w:lvl>
  </w:abstractNum>
  <w:num w:numId="1">
    <w:abstractNumId w:val="4"/>
  </w:num>
  <w:num w:numId="2">
    <w:abstractNumId w:val="1"/>
  </w:num>
  <w:num w:numId="3">
    <w:abstractNumId w:val="0"/>
  </w:num>
  <w:num w:numId="4">
    <w:abstractNumId w:val="7"/>
  </w:num>
  <w:num w:numId="5">
    <w:abstractNumId w:val="7"/>
  </w:num>
  <w:num w:numId="6">
    <w:abstractNumId w:val="7"/>
  </w:num>
  <w:num w:numId="7">
    <w:abstractNumId w:val="7"/>
  </w:num>
  <w:num w:numId="8">
    <w:abstractNumId w:val="5"/>
  </w:num>
  <w:num w:numId="9">
    <w:abstractNumId w:val="5"/>
  </w:num>
  <w:num w:numId="10">
    <w:abstractNumId w:val="3"/>
  </w:num>
  <w:num w:numId="11">
    <w:abstractNumId w:val="3"/>
  </w:num>
  <w:num w:numId="12">
    <w:abstractNumId w:val="2"/>
  </w:num>
  <w:num w:numId="13">
    <w:abstractNumId w:val="2"/>
  </w:num>
  <w:num w:numId="1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D23D3"/>
    <w:rsid w:val="0005011E"/>
    <w:rsid w:val="000619AA"/>
    <w:rsid w:val="00092424"/>
    <w:rsid w:val="000A48C8"/>
    <w:rsid w:val="000E4F87"/>
    <w:rsid w:val="00101B48"/>
    <w:rsid w:val="001447D8"/>
    <w:rsid w:val="001918CA"/>
    <w:rsid w:val="001D6AFC"/>
    <w:rsid w:val="001D7B07"/>
    <w:rsid w:val="001E1F3D"/>
    <w:rsid w:val="001E52AF"/>
    <w:rsid w:val="001E5539"/>
    <w:rsid w:val="001F7E30"/>
    <w:rsid w:val="00235460"/>
    <w:rsid w:val="002C3C91"/>
    <w:rsid w:val="002E434F"/>
    <w:rsid w:val="002F08DA"/>
    <w:rsid w:val="002F650F"/>
    <w:rsid w:val="00306899"/>
    <w:rsid w:val="00331AEF"/>
    <w:rsid w:val="00377D20"/>
    <w:rsid w:val="003D240A"/>
    <w:rsid w:val="003E1742"/>
    <w:rsid w:val="003F5A51"/>
    <w:rsid w:val="00435E25"/>
    <w:rsid w:val="00493812"/>
    <w:rsid w:val="004D65BC"/>
    <w:rsid w:val="00545573"/>
    <w:rsid w:val="005866A4"/>
    <w:rsid w:val="0059620B"/>
    <w:rsid w:val="005A5C22"/>
    <w:rsid w:val="005B07AF"/>
    <w:rsid w:val="005E182B"/>
    <w:rsid w:val="00605024"/>
    <w:rsid w:val="00672AEF"/>
    <w:rsid w:val="00683F5F"/>
    <w:rsid w:val="00693F6B"/>
    <w:rsid w:val="006F1E43"/>
    <w:rsid w:val="00760CF2"/>
    <w:rsid w:val="007A41FB"/>
    <w:rsid w:val="007A76A5"/>
    <w:rsid w:val="007B6102"/>
    <w:rsid w:val="007D3387"/>
    <w:rsid w:val="00880137"/>
    <w:rsid w:val="008E208F"/>
    <w:rsid w:val="00947DE4"/>
    <w:rsid w:val="00953FC7"/>
    <w:rsid w:val="009A21A5"/>
    <w:rsid w:val="009B4603"/>
    <w:rsid w:val="00A06319"/>
    <w:rsid w:val="00A64C81"/>
    <w:rsid w:val="00A74097"/>
    <w:rsid w:val="00A95048"/>
    <w:rsid w:val="00AA64E5"/>
    <w:rsid w:val="00AB20C0"/>
    <w:rsid w:val="00B30BD0"/>
    <w:rsid w:val="00B50DEA"/>
    <w:rsid w:val="00BC0753"/>
    <w:rsid w:val="00BD23D3"/>
    <w:rsid w:val="00BE0FEB"/>
    <w:rsid w:val="00BF1E0D"/>
    <w:rsid w:val="00C05424"/>
    <w:rsid w:val="00C31DCF"/>
    <w:rsid w:val="00CE560B"/>
    <w:rsid w:val="00D02169"/>
    <w:rsid w:val="00D142EB"/>
    <w:rsid w:val="00D4166C"/>
    <w:rsid w:val="00D836AE"/>
    <w:rsid w:val="00DA6A67"/>
    <w:rsid w:val="00DB49EA"/>
    <w:rsid w:val="00DD256E"/>
    <w:rsid w:val="00E25109"/>
    <w:rsid w:val="00E26D2D"/>
    <w:rsid w:val="00E51435"/>
    <w:rsid w:val="00E63454"/>
    <w:rsid w:val="00E65E8F"/>
    <w:rsid w:val="00ED3333"/>
    <w:rsid w:val="00EE0AD6"/>
    <w:rsid w:val="00F146F1"/>
    <w:rsid w:val="00F23DBA"/>
    <w:rsid w:val="00F25FDF"/>
    <w:rsid w:val="00F4434B"/>
    <w:rsid w:val="00F46C52"/>
    <w:rsid w:val="00F47CD8"/>
    <w:rsid w:val="00F54DD7"/>
    <w:rsid w:val="00FD2F83"/>
    <w:rsid w:val="00FE40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5BED9A33"/>
  <w15:docId w15:val="{3D7CE10D-20EA-4DD6-B646-2FF8862DE9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Pr>
      <w:rFonts w:ascii="Arial" w:hAnsi="Arial"/>
      <w:szCs w:val="24"/>
    </w:rPr>
  </w:style>
  <w:style w:type="paragraph" w:styleId="Nadpis1">
    <w:name w:val="heading 1"/>
    <w:basedOn w:val="Normln"/>
    <w:next w:val="Bntext"/>
    <w:qFormat/>
    <w:pPr>
      <w:keepNext/>
      <w:widowControl w:val="0"/>
      <w:numPr>
        <w:numId w:val="4"/>
      </w:numPr>
      <w:spacing w:before="240" w:after="60"/>
      <w:outlineLvl w:val="0"/>
    </w:pPr>
    <w:rPr>
      <w:rFonts w:cs="Arial"/>
      <w:b/>
      <w:bCs/>
      <w:caps/>
      <w:kern w:val="28"/>
      <w:sz w:val="28"/>
      <w:szCs w:val="32"/>
    </w:rPr>
  </w:style>
  <w:style w:type="paragraph" w:styleId="Nadpis2">
    <w:name w:val="heading 2"/>
    <w:basedOn w:val="Normln"/>
    <w:next w:val="Bntext"/>
    <w:qFormat/>
    <w:pPr>
      <w:keepNext/>
      <w:widowControl w:val="0"/>
      <w:numPr>
        <w:ilvl w:val="1"/>
        <w:numId w:val="5"/>
      </w:numPr>
      <w:spacing w:before="240" w:after="60"/>
      <w:outlineLvl w:val="1"/>
    </w:pPr>
    <w:rPr>
      <w:rFonts w:cs="Arial"/>
      <w:b/>
      <w:bCs/>
      <w:iCs/>
      <w:kern w:val="28"/>
      <w:sz w:val="28"/>
      <w:szCs w:val="28"/>
    </w:rPr>
  </w:style>
  <w:style w:type="paragraph" w:styleId="Nadpis3">
    <w:name w:val="heading 3"/>
    <w:basedOn w:val="Normln"/>
    <w:next w:val="Bntext"/>
    <w:qFormat/>
    <w:pPr>
      <w:keepNext/>
      <w:widowControl w:val="0"/>
      <w:numPr>
        <w:ilvl w:val="2"/>
        <w:numId w:val="6"/>
      </w:numPr>
      <w:spacing w:before="240" w:after="60"/>
      <w:outlineLvl w:val="2"/>
    </w:pPr>
    <w:rPr>
      <w:rFonts w:cs="Arial"/>
      <w:b/>
      <w:bCs/>
      <w:kern w:val="24"/>
      <w:sz w:val="24"/>
      <w:szCs w:val="26"/>
    </w:rPr>
  </w:style>
  <w:style w:type="paragraph" w:styleId="Nadpis4">
    <w:name w:val="heading 4"/>
    <w:basedOn w:val="Normln"/>
    <w:next w:val="Bntext"/>
    <w:qFormat/>
    <w:pPr>
      <w:keepNext/>
      <w:widowControl w:val="0"/>
      <w:numPr>
        <w:ilvl w:val="3"/>
        <w:numId w:val="7"/>
      </w:numPr>
      <w:tabs>
        <w:tab w:val="clear" w:pos="1080"/>
        <w:tab w:val="left" w:pos="851"/>
      </w:tabs>
      <w:spacing w:before="240" w:after="60"/>
      <w:outlineLvl w:val="3"/>
    </w:pPr>
    <w:rPr>
      <w:b/>
      <w:bCs/>
      <w:kern w:val="22"/>
      <w:sz w:val="22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widowControl w:val="0"/>
      <w:spacing w:before="60" w:after="60"/>
    </w:pPr>
    <w:rPr>
      <w:i/>
    </w:rPr>
  </w:style>
  <w:style w:type="paragraph" w:styleId="Zpat">
    <w:name w:val="footer"/>
    <w:basedOn w:val="Normln"/>
    <w:pPr>
      <w:widowControl w:val="0"/>
      <w:spacing w:before="60" w:after="60"/>
    </w:pPr>
    <w:rPr>
      <w:i/>
    </w:rPr>
  </w:style>
  <w:style w:type="paragraph" w:customStyle="1" w:styleId="Bntext">
    <w:name w:val="Běžný text"/>
    <w:basedOn w:val="Normln"/>
    <w:pPr>
      <w:widowControl w:val="0"/>
      <w:spacing w:before="60" w:after="60"/>
      <w:jc w:val="both"/>
    </w:pPr>
  </w:style>
  <w:style w:type="paragraph" w:customStyle="1" w:styleId="Bntextodsazen">
    <w:name w:val="Běžný text odsazený"/>
    <w:basedOn w:val="Normln"/>
    <w:pPr>
      <w:widowControl w:val="0"/>
      <w:spacing w:before="60" w:after="60"/>
      <w:ind w:left="851"/>
    </w:pPr>
  </w:style>
  <w:style w:type="paragraph" w:styleId="slovanseznam">
    <w:name w:val="List Number"/>
    <w:basedOn w:val="Normln"/>
    <w:pPr>
      <w:widowControl w:val="0"/>
      <w:tabs>
        <w:tab w:val="left" w:pos="357"/>
      </w:tabs>
      <w:ind w:left="357" w:hanging="357"/>
    </w:pPr>
  </w:style>
  <w:style w:type="paragraph" w:styleId="slovanseznam2">
    <w:name w:val="List Number 2"/>
    <w:basedOn w:val="Normln"/>
    <w:pPr>
      <w:widowControl w:val="0"/>
      <w:tabs>
        <w:tab w:val="left" w:pos="851"/>
      </w:tabs>
      <w:ind w:left="851" w:hanging="851"/>
    </w:pPr>
  </w:style>
  <w:style w:type="paragraph" w:styleId="slovanseznam3">
    <w:name w:val="List Number 3"/>
    <w:basedOn w:val="Normln"/>
    <w:pPr>
      <w:widowControl w:val="0"/>
      <w:tabs>
        <w:tab w:val="left" w:pos="851"/>
      </w:tabs>
      <w:ind w:left="851" w:hanging="284"/>
    </w:pPr>
  </w:style>
  <w:style w:type="paragraph" w:customStyle="1" w:styleId="NadpisA">
    <w:name w:val="Nadpis A"/>
    <w:basedOn w:val="Normln"/>
    <w:next w:val="Bntext"/>
    <w:pPr>
      <w:keepNext/>
      <w:widowControl w:val="0"/>
      <w:spacing w:before="240" w:after="60"/>
    </w:pPr>
    <w:rPr>
      <w:b/>
      <w:caps/>
      <w:kern w:val="28"/>
      <w:sz w:val="28"/>
    </w:rPr>
  </w:style>
  <w:style w:type="paragraph" w:customStyle="1" w:styleId="NadpisB">
    <w:name w:val="Nadpis B"/>
    <w:basedOn w:val="Normln"/>
    <w:next w:val="Bntext"/>
    <w:pPr>
      <w:keepNext/>
      <w:widowControl w:val="0"/>
      <w:spacing w:before="240" w:after="60"/>
    </w:pPr>
    <w:rPr>
      <w:b/>
      <w:kern w:val="28"/>
      <w:sz w:val="28"/>
    </w:rPr>
  </w:style>
  <w:style w:type="paragraph" w:customStyle="1" w:styleId="NadpisC">
    <w:name w:val="Nadpis C"/>
    <w:basedOn w:val="Normln"/>
    <w:next w:val="Bntext"/>
    <w:pPr>
      <w:keepNext/>
      <w:widowControl w:val="0"/>
      <w:spacing w:before="240" w:after="60"/>
    </w:pPr>
    <w:rPr>
      <w:b/>
      <w:kern w:val="24"/>
      <w:sz w:val="24"/>
    </w:rPr>
  </w:style>
  <w:style w:type="paragraph" w:customStyle="1" w:styleId="NadpisD">
    <w:name w:val="Nadpis D"/>
    <w:basedOn w:val="Normln"/>
    <w:next w:val="Bntext"/>
    <w:pPr>
      <w:keepNext/>
      <w:widowControl w:val="0"/>
      <w:spacing w:before="240" w:after="60"/>
    </w:pPr>
    <w:rPr>
      <w:b/>
      <w:kern w:val="22"/>
      <w:sz w:val="22"/>
    </w:rPr>
  </w:style>
  <w:style w:type="paragraph" w:customStyle="1" w:styleId="Nzevobrzku">
    <w:name w:val="Název obrázku"/>
    <w:basedOn w:val="Normln"/>
    <w:rPr>
      <w:i/>
    </w:rPr>
  </w:style>
  <w:style w:type="paragraph" w:customStyle="1" w:styleId="Nzevtabulky">
    <w:name w:val="Název tabulky"/>
    <w:basedOn w:val="Normln"/>
    <w:rPr>
      <w:i/>
    </w:rPr>
  </w:style>
  <w:style w:type="paragraph" w:styleId="Obsah1">
    <w:name w:val="toc 1"/>
    <w:basedOn w:val="Normln"/>
    <w:next w:val="Bntext"/>
    <w:autoRedefine/>
    <w:semiHidden/>
    <w:pPr>
      <w:widowControl w:val="0"/>
      <w:spacing w:after="60"/>
    </w:pPr>
    <w:rPr>
      <w:caps/>
    </w:rPr>
  </w:style>
  <w:style w:type="paragraph" w:styleId="Obsah2">
    <w:name w:val="toc 2"/>
    <w:basedOn w:val="Normln"/>
    <w:next w:val="Bntext"/>
    <w:autoRedefine/>
    <w:semiHidden/>
    <w:pPr>
      <w:widowControl w:val="0"/>
      <w:spacing w:after="60"/>
      <w:ind w:left="198"/>
    </w:pPr>
  </w:style>
  <w:style w:type="paragraph" w:styleId="Obsah3">
    <w:name w:val="toc 3"/>
    <w:basedOn w:val="Normln"/>
    <w:next w:val="Bntext"/>
    <w:autoRedefine/>
    <w:semiHidden/>
    <w:pPr>
      <w:widowControl w:val="0"/>
      <w:spacing w:after="60"/>
      <w:ind w:left="403"/>
    </w:pPr>
  </w:style>
  <w:style w:type="paragraph" w:styleId="Obsah4">
    <w:name w:val="toc 4"/>
    <w:basedOn w:val="Normln"/>
    <w:next w:val="Bntext"/>
    <w:autoRedefine/>
    <w:semiHidden/>
    <w:pPr>
      <w:widowControl w:val="0"/>
      <w:spacing w:after="60"/>
      <w:ind w:left="601"/>
    </w:pPr>
  </w:style>
  <w:style w:type="paragraph" w:styleId="Seznamsodrkami">
    <w:name w:val="List Bullet"/>
    <w:basedOn w:val="Normln"/>
    <w:autoRedefine/>
    <w:pPr>
      <w:widowControl w:val="0"/>
      <w:numPr>
        <w:numId w:val="9"/>
      </w:numPr>
      <w:tabs>
        <w:tab w:val="clear" w:pos="360"/>
        <w:tab w:val="left" w:pos="357"/>
      </w:tabs>
      <w:ind w:left="357" w:hanging="357"/>
    </w:pPr>
  </w:style>
  <w:style w:type="paragraph" w:styleId="Seznamsodrkami2">
    <w:name w:val="List Bullet 2"/>
    <w:basedOn w:val="Normln"/>
    <w:autoRedefine/>
    <w:pPr>
      <w:widowControl w:val="0"/>
      <w:numPr>
        <w:numId w:val="11"/>
      </w:numPr>
      <w:tabs>
        <w:tab w:val="clear" w:pos="643"/>
        <w:tab w:val="left" w:pos="851"/>
      </w:tabs>
      <w:ind w:left="851" w:hanging="851"/>
    </w:pPr>
  </w:style>
  <w:style w:type="paragraph" w:styleId="Seznamsodrkami3">
    <w:name w:val="List Bullet 3"/>
    <w:basedOn w:val="Normln"/>
    <w:autoRedefine/>
    <w:pPr>
      <w:widowControl w:val="0"/>
      <w:numPr>
        <w:numId w:val="13"/>
      </w:numPr>
      <w:tabs>
        <w:tab w:val="clear" w:pos="926"/>
        <w:tab w:val="left" w:pos="851"/>
      </w:tabs>
      <w:ind w:left="851" w:hanging="284"/>
    </w:pPr>
  </w:style>
  <w:style w:type="paragraph" w:styleId="Textpoznpodarou">
    <w:name w:val="footnote text"/>
    <w:basedOn w:val="Normln"/>
    <w:semiHidden/>
    <w:pPr>
      <w:ind w:left="284" w:hanging="284"/>
    </w:pPr>
    <w:rPr>
      <w:i/>
      <w:szCs w:val="20"/>
    </w:rPr>
  </w:style>
  <w:style w:type="paragraph" w:customStyle="1" w:styleId="Texttabulky">
    <w:name w:val="Text tabulky"/>
    <w:basedOn w:val="Normln"/>
    <w:pPr>
      <w:widowControl w:val="0"/>
      <w:spacing w:before="60" w:after="60"/>
    </w:pPr>
  </w:style>
  <w:style w:type="table" w:styleId="Mkatabulky">
    <w:name w:val="Table Grid"/>
    <w:basedOn w:val="Normlntabulka"/>
    <w:rsid w:val="002F65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basedOn w:val="Normln"/>
    <w:uiPriority w:val="34"/>
    <w:qFormat/>
    <w:rsid w:val="002F650F"/>
    <w:pPr>
      <w:ind w:left="720"/>
      <w:contextualSpacing/>
    </w:pPr>
  </w:style>
  <w:style w:type="paragraph" w:styleId="Textbubliny">
    <w:name w:val="Balloon Text"/>
    <w:basedOn w:val="Normln"/>
    <w:link w:val="TextbublinyChar"/>
    <w:rsid w:val="00953F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953FC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104</TotalTime>
  <Pages>3</Pages>
  <Words>592</Words>
  <Characters>3497</Characters>
  <Application>Microsoft Office Word</Application>
  <DocSecurity>0</DocSecurity>
  <Lines>29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Pöyry Environment a.s.</Company>
  <LinksUpToDate>false</LinksUpToDate>
  <CharactersWithSpaces>4081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Svancara, Jiri</dc:creator>
  <cp:lastModifiedBy>. .</cp:lastModifiedBy>
  <cp:revision>32</cp:revision>
  <cp:lastPrinted>1900-12-31T23:00:00Z</cp:lastPrinted>
  <dcterms:created xsi:type="dcterms:W3CDTF">2020-03-13T14:12:00Z</dcterms:created>
  <dcterms:modified xsi:type="dcterms:W3CDTF">2020-08-17T15:27:00Z</dcterms:modified>
</cp:coreProperties>
</file>