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Mkatabulky"/>
        <w:tblW w:w="0" w:type="auto"/>
        <w:tblLook w:val="04A0" w:firstRow="1" w:lastRow="0" w:firstColumn="1" w:lastColumn="0" w:noHBand="0" w:noVBand="1"/>
      </w:tblPr>
      <w:tblGrid>
        <w:gridCol w:w="1384"/>
        <w:gridCol w:w="7826"/>
      </w:tblGrid>
      <w:tr w:rsidR="00ED3333" w:rsidRPr="00ED3333" w14:paraId="230B5ED1" w14:textId="77777777" w:rsidTr="00DA6A67">
        <w:tc>
          <w:tcPr>
            <w:tcW w:w="1384" w:type="dxa"/>
            <w:shd w:val="clear" w:color="auto" w:fill="D9D9D9" w:themeFill="background1" w:themeFillShade="D9"/>
            <w:vAlign w:val="bottom"/>
          </w:tcPr>
          <w:p w14:paraId="6DA800A3" w14:textId="77777777" w:rsidR="00ED3333" w:rsidRPr="00ED3333" w:rsidRDefault="00B53AF0" w:rsidP="00ED3333">
            <w:pPr>
              <w:rPr>
                <w:b/>
                <w:bCs/>
                <w:sz w:val="28"/>
                <w:szCs w:val="28"/>
              </w:rPr>
            </w:pPr>
            <w:r>
              <w:rPr>
                <w:b/>
                <w:bCs/>
                <w:sz w:val="28"/>
                <w:szCs w:val="28"/>
              </w:rPr>
              <w:t>D</w:t>
            </w:r>
            <w:r w:rsidR="00ED3333" w:rsidRPr="00ED3333">
              <w:rPr>
                <w:b/>
                <w:bCs/>
                <w:sz w:val="28"/>
                <w:szCs w:val="28"/>
              </w:rPr>
              <w:t>.0</w:t>
            </w:r>
            <w:r>
              <w:rPr>
                <w:b/>
                <w:bCs/>
                <w:sz w:val="28"/>
                <w:szCs w:val="28"/>
              </w:rPr>
              <w:t>4</w:t>
            </w:r>
          </w:p>
        </w:tc>
        <w:tc>
          <w:tcPr>
            <w:tcW w:w="7826" w:type="dxa"/>
            <w:shd w:val="clear" w:color="auto" w:fill="D9D9D9" w:themeFill="background1" w:themeFillShade="D9"/>
            <w:vAlign w:val="bottom"/>
          </w:tcPr>
          <w:p w14:paraId="612D5464" w14:textId="77777777" w:rsidR="00ED3333" w:rsidRPr="00ED3333" w:rsidRDefault="00B53AF0" w:rsidP="00ED3333">
            <w:pPr>
              <w:rPr>
                <w:b/>
                <w:bCs/>
                <w:sz w:val="28"/>
                <w:szCs w:val="28"/>
              </w:rPr>
            </w:pPr>
            <w:bookmarkStart w:id="0" w:name="_Hlk34470232"/>
            <w:r>
              <w:rPr>
                <w:b/>
                <w:bCs/>
                <w:sz w:val="28"/>
                <w:szCs w:val="28"/>
              </w:rPr>
              <w:t>Amfiteátr – pobytové stupně</w:t>
            </w:r>
            <w:bookmarkEnd w:id="0"/>
          </w:p>
        </w:tc>
      </w:tr>
      <w:tr w:rsidR="002F650F" w14:paraId="05C40304" w14:textId="77777777" w:rsidTr="002F650F">
        <w:tc>
          <w:tcPr>
            <w:tcW w:w="1384" w:type="dxa"/>
          </w:tcPr>
          <w:p w14:paraId="06412D47" w14:textId="77777777" w:rsidR="002F650F" w:rsidRDefault="00ED3333" w:rsidP="002F650F">
            <w:r>
              <w:t>Úsek</w:t>
            </w:r>
          </w:p>
        </w:tc>
        <w:tc>
          <w:tcPr>
            <w:tcW w:w="7826" w:type="dxa"/>
          </w:tcPr>
          <w:p w14:paraId="0D72BCDC" w14:textId="77777777" w:rsidR="002F650F" w:rsidRDefault="00B53AF0" w:rsidP="002F650F">
            <w:r>
              <w:t>D</w:t>
            </w:r>
            <w:r w:rsidRPr="00113E1A">
              <w:t xml:space="preserve"> </w:t>
            </w:r>
            <w:proofErr w:type="gramStart"/>
            <w:r w:rsidRPr="00113E1A">
              <w:t>(</w:t>
            </w:r>
            <w:r>
              <w:t xml:space="preserve"> „</w:t>
            </w:r>
            <w:proofErr w:type="gramEnd"/>
            <w:r>
              <w:t>krnovský Manchester“</w:t>
            </w:r>
            <w:r w:rsidRPr="00113E1A">
              <w:t>)</w:t>
            </w:r>
          </w:p>
        </w:tc>
      </w:tr>
    </w:tbl>
    <w:p w14:paraId="4BB461AE" w14:textId="77777777" w:rsidR="00BE0FEB" w:rsidRDefault="00BE0FEB">
      <w:pPr>
        <w:pStyle w:val="Bntext"/>
      </w:pPr>
    </w:p>
    <w:p w14:paraId="62143703" w14:textId="77777777" w:rsidR="002F650F" w:rsidRDefault="008E208F" w:rsidP="00DA6A67">
      <w:pPr>
        <w:pStyle w:val="NadpisC"/>
      </w:pPr>
      <w:r>
        <w:t>1</w:t>
      </w:r>
      <w:r>
        <w:tab/>
      </w:r>
      <w:r w:rsidR="002F650F">
        <w:t>Popis námětu dle Studie</w:t>
      </w:r>
    </w:p>
    <w:p w14:paraId="3C8F5006" w14:textId="77777777" w:rsidR="002F650F" w:rsidRPr="007B2488" w:rsidRDefault="00D70C4B" w:rsidP="00D70C4B">
      <w:pPr>
        <w:pStyle w:val="Bntext"/>
        <w:rPr>
          <w:i/>
          <w:iCs/>
        </w:rPr>
      </w:pPr>
      <w:r w:rsidRPr="007B2488">
        <w:rPr>
          <w:i/>
          <w:iCs/>
        </w:rPr>
        <w:t xml:space="preserve">Mezi mosty Sokolovská a Opavská je navrženo na levém břehu rozšíření bermy. Ve vzniklém prostor je navržen amfiteátr a městský veřejný pobytový prostor navazující na kruhový objezd. Prostor amfiteátru, jeho umístění nedaleko hlavního náměstí a výhled na krajinnou dominantu města Krnova, kostel Panny Marie Sedmibolestné a rozhlednu na </w:t>
      </w:r>
      <w:proofErr w:type="spellStart"/>
      <w:r w:rsidRPr="007B2488">
        <w:rPr>
          <w:i/>
          <w:iCs/>
        </w:rPr>
        <w:t>Cvilíně</w:t>
      </w:r>
      <w:proofErr w:type="spellEnd"/>
      <w:r w:rsidRPr="007B2488">
        <w:rPr>
          <w:i/>
          <w:iCs/>
        </w:rPr>
        <w:t xml:space="preserve">, dělá z toho místa významný společenský a městský prostor, doplněný o přímý kontakt s mikro klimatem řeky Opavy. Na pobytové stupně amfiteátru navazuje pobytová plocha v úrovni náplavky (viz D.05) a pobytový městský prostor (viz D.15) Pobytové stupně umožňují přirozené propojení horní úrovně s úrovní náplavky, v krajích je umístěno schodiště splňující normové požadavky na schodiště. Navržená výška pobytových stupňů (v. </w:t>
      </w:r>
      <w:proofErr w:type="gramStart"/>
      <w:r w:rsidRPr="007B2488">
        <w:rPr>
          <w:i/>
          <w:iCs/>
        </w:rPr>
        <w:t>40cm</w:t>
      </w:r>
      <w:proofErr w:type="gramEnd"/>
      <w:r w:rsidRPr="007B2488">
        <w:rPr>
          <w:i/>
          <w:iCs/>
        </w:rPr>
        <w:t xml:space="preserve">) umožňuje přirozený posed. Povrch stupňů tvoří pohledový beton. Bude použito systémové bednění. Do podstupnice pobytových stupňů je navrženo soklové osvětlení. Pro plochu (viz. D.05) bude ve vhodném místě pobytových stupňů umístěno místo s přípravou elektro.   </w:t>
      </w:r>
    </w:p>
    <w:p w14:paraId="60FDB92A" w14:textId="77777777" w:rsidR="002F650F" w:rsidRDefault="008E208F" w:rsidP="00DA6A67">
      <w:pPr>
        <w:pStyle w:val="NadpisC"/>
      </w:pPr>
      <w:r>
        <w:t>2</w:t>
      </w:r>
      <w:r>
        <w:tab/>
      </w:r>
      <w:r w:rsidR="002F650F">
        <w:t>Umístění</w:t>
      </w:r>
    </w:p>
    <w:p w14:paraId="00B568F0" w14:textId="77777777" w:rsidR="009A7208" w:rsidRDefault="009A7208" w:rsidP="002E1944">
      <w:pPr>
        <w:pStyle w:val="Bntext"/>
      </w:pPr>
      <w:r>
        <w:rPr>
          <w:noProof/>
        </w:rPr>
        <w:drawing>
          <wp:anchor distT="0" distB="0" distL="114300" distR="114300" simplePos="0" relativeHeight="251658240" behindDoc="0" locked="0" layoutInCell="1" allowOverlap="1" wp14:anchorId="41843943" wp14:editId="0895A087">
            <wp:simplePos x="0" y="0"/>
            <wp:positionH relativeFrom="margin">
              <wp:posOffset>3677920</wp:posOffset>
            </wp:positionH>
            <wp:positionV relativeFrom="margin">
              <wp:posOffset>4682490</wp:posOffset>
            </wp:positionV>
            <wp:extent cx="2245360" cy="1059815"/>
            <wp:effectExtent l="0" t="0" r="2540" b="6985"/>
            <wp:wrapSquare wrapText="bothSides"/>
            <wp:docPr id="2" name="Obrázek 2" descr="Obsah obrázku text,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ez_D04.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45360" cy="1059815"/>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6F3BFEB5" wp14:editId="6BA75146">
            <wp:extent cx="3832576" cy="2758440"/>
            <wp:effectExtent l="0" t="0" r="0" b="3810"/>
            <wp:docPr id="1" name="Obrázek 1" descr="Obsah obrázku text,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ituace_D04.PNG"/>
                    <pic:cNvPicPr/>
                  </pic:nvPicPr>
                  <pic:blipFill>
                    <a:blip r:embed="rId8">
                      <a:extLst>
                        <a:ext uri="{28A0092B-C50C-407E-A947-70E740481C1C}">
                          <a14:useLocalDpi xmlns:a14="http://schemas.microsoft.com/office/drawing/2010/main" val="0"/>
                        </a:ext>
                      </a:extLst>
                    </a:blip>
                    <a:stretch>
                      <a:fillRect/>
                    </a:stretch>
                  </pic:blipFill>
                  <pic:spPr>
                    <a:xfrm>
                      <a:off x="0" y="0"/>
                      <a:ext cx="3846070" cy="2768152"/>
                    </a:xfrm>
                    <a:prstGeom prst="rect">
                      <a:avLst/>
                    </a:prstGeom>
                  </pic:spPr>
                </pic:pic>
              </a:graphicData>
            </a:graphic>
          </wp:inline>
        </w:drawing>
      </w:r>
    </w:p>
    <w:p w14:paraId="4A876926" w14:textId="77777777" w:rsidR="002E1944" w:rsidRDefault="002E1944" w:rsidP="002E1944">
      <w:pPr>
        <w:pStyle w:val="Bntext"/>
      </w:pPr>
      <w:r w:rsidRPr="009A5019">
        <w:t xml:space="preserve">Námět v souladu s ÚP – koridory </w:t>
      </w:r>
      <w:r>
        <w:t xml:space="preserve">vodní a vodohospodářské – </w:t>
      </w:r>
      <w:r w:rsidR="009A7208">
        <w:tab/>
      </w:r>
      <w:r>
        <w:t>KW-O36</w:t>
      </w:r>
      <w:r w:rsidR="00F5291C">
        <w:t xml:space="preserve"> (</w:t>
      </w:r>
      <w:bookmarkStart w:id="1" w:name="_Hlk34478225"/>
      <w:r>
        <w:t>přípustné využití pro stavby dopravní a technické infrastruktury</w:t>
      </w:r>
      <w:r w:rsidR="00F5291C">
        <w:t>).</w:t>
      </w:r>
    </w:p>
    <w:bookmarkEnd w:id="1"/>
    <w:p w14:paraId="47D9A5DB" w14:textId="77777777" w:rsidR="002E1944" w:rsidRDefault="002E1944" w:rsidP="002E1944">
      <w:pPr>
        <w:pStyle w:val="Bntext"/>
      </w:pPr>
      <w:r>
        <w:t>Zábory, majetkoprávní vypořádání – pozemek Města Krnova</w:t>
      </w:r>
    </w:p>
    <w:p w14:paraId="03BC99B4" w14:textId="77777777" w:rsidR="002E1944" w:rsidRDefault="002E1944" w:rsidP="002E1944">
      <w:pPr>
        <w:pStyle w:val="Bntext"/>
      </w:pPr>
      <w:r>
        <w:t>Kolize s infrastrukturou – ANO, kanalizace DN 800</w:t>
      </w:r>
      <w:r w:rsidR="00064637">
        <w:t xml:space="preserve"> včetně navrhované přeložky</w:t>
      </w:r>
      <w:r>
        <w:t>,</w:t>
      </w:r>
      <w:r w:rsidR="00064637">
        <w:t xml:space="preserve"> vodovod DN 100 </w:t>
      </w:r>
      <w:r w:rsidR="009A7208">
        <w:tab/>
      </w:r>
      <w:r w:rsidR="00064637">
        <w:t>včetně navrhované přeložky,</w:t>
      </w:r>
      <w:r>
        <w:t xml:space="preserve"> </w:t>
      </w:r>
      <w:r w:rsidR="0067731D">
        <w:t xml:space="preserve">přeložka </w:t>
      </w:r>
      <w:r>
        <w:t>kabel</w:t>
      </w:r>
      <w:r w:rsidR="0067731D">
        <w:t>u</w:t>
      </w:r>
      <w:r>
        <w:t xml:space="preserve"> UPC</w:t>
      </w:r>
    </w:p>
    <w:p w14:paraId="75614B61" w14:textId="77777777" w:rsidR="002F650F" w:rsidRDefault="008E208F" w:rsidP="00235460">
      <w:pPr>
        <w:pStyle w:val="NadpisC"/>
      </w:pPr>
      <w:r>
        <w:t>3</w:t>
      </w:r>
      <w:r>
        <w:tab/>
      </w:r>
      <w:r w:rsidR="00235460">
        <w:t>Komentář</w:t>
      </w:r>
    </w:p>
    <w:p w14:paraId="3095C2E6" w14:textId="77777777" w:rsidR="0020798E" w:rsidRDefault="0020798E" w:rsidP="00235460">
      <w:pPr>
        <w:pStyle w:val="Bntext"/>
      </w:pPr>
      <w:r>
        <w:t xml:space="preserve">Řešení je uvedeno na přílohách studie: </w:t>
      </w:r>
      <w:r w:rsidR="00281B28">
        <w:t>zpráva A str. 27, situace B.</w:t>
      </w:r>
      <w:proofErr w:type="gramStart"/>
      <w:r w:rsidR="00281B28">
        <w:t>04d</w:t>
      </w:r>
      <w:proofErr w:type="gramEnd"/>
      <w:r>
        <w:t xml:space="preserve"> </w:t>
      </w:r>
      <w:bookmarkStart w:id="2" w:name="_Hlk34383963"/>
      <w:r w:rsidR="0099607B">
        <w:t xml:space="preserve">a </w:t>
      </w:r>
      <w:r w:rsidR="00287EE1">
        <w:t xml:space="preserve">příčný řez </w:t>
      </w:r>
      <w:r w:rsidR="0099607B">
        <w:t>B.05g</w:t>
      </w:r>
      <w:bookmarkEnd w:id="2"/>
    </w:p>
    <w:p w14:paraId="7C62B25D" w14:textId="77777777" w:rsidR="002F08DA" w:rsidRPr="00235460" w:rsidRDefault="00035C1F" w:rsidP="00235460">
      <w:pPr>
        <w:pStyle w:val="Bntext"/>
      </w:pPr>
      <w:r>
        <w:t>Ř</w:t>
      </w:r>
      <w:r w:rsidR="002F08DA">
        <w:t>ešení</w:t>
      </w:r>
      <w:r>
        <w:t xml:space="preserve"> </w:t>
      </w:r>
      <w:r w:rsidR="002F08DA">
        <w:t>je jen ideové</w:t>
      </w:r>
      <w:r>
        <w:t xml:space="preserve">. Nutno dořešit </w:t>
      </w:r>
      <w:r w:rsidR="00484685">
        <w:t xml:space="preserve">kolize s </w:t>
      </w:r>
      <w:r>
        <w:t>inženýrsk</w:t>
      </w:r>
      <w:r w:rsidR="00484685">
        <w:t>ými</w:t>
      </w:r>
      <w:r>
        <w:t xml:space="preserve"> sítě</w:t>
      </w:r>
      <w:r w:rsidR="00484685">
        <w:t>mi</w:t>
      </w:r>
      <w:r>
        <w:t>.</w:t>
      </w:r>
      <w:r w:rsidR="002F08DA">
        <w:t xml:space="preserve"> </w:t>
      </w:r>
    </w:p>
    <w:p w14:paraId="71619E8E" w14:textId="77777777" w:rsidR="002F650F" w:rsidRDefault="008E208F" w:rsidP="00DA6A67">
      <w:pPr>
        <w:pStyle w:val="NadpisC"/>
      </w:pPr>
      <w:r>
        <w:t>4</w:t>
      </w:r>
      <w:r>
        <w:tab/>
      </w:r>
      <w:r w:rsidR="002F650F">
        <w:t>Hodnocení slučitelnosti námětů s koncepcí PPO</w:t>
      </w:r>
      <w:r w:rsidR="002F08DA" w:rsidRPr="002F08DA">
        <w:t xml:space="preserve"> </w:t>
      </w:r>
      <w:r w:rsidR="002F08DA">
        <w:t>a funkčnosti</w:t>
      </w:r>
    </w:p>
    <w:p w14:paraId="490CA8B1" w14:textId="77777777" w:rsidR="004460E3" w:rsidRDefault="00EA04E6" w:rsidP="00EA04E6">
      <w:r>
        <w:t xml:space="preserve">Lze zrealizovat bez ovlivnění funkce PPO. </w:t>
      </w:r>
    </w:p>
    <w:p w14:paraId="05B078ED" w14:textId="77777777" w:rsidR="00EA04E6" w:rsidRDefault="007A2D92" w:rsidP="00EA04E6">
      <w:r>
        <w:t>K</w:t>
      </w:r>
      <w:r w:rsidR="00EA04E6">
        <w:t xml:space="preserve">oliduje se stávajícími sítěmi i navrhovanými přeložkami </w:t>
      </w:r>
      <w:r w:rsidR="004460E3">
        <w:t>sítí v rámci DUR PPO (kanalizace, vodovod, kabel UPC)</w:t>
      </w:r>
      <w:r>
        <w:t>.</w:t>
      </w:r>
    </w:p>
    <w:p w14:paraId="5E1BE1C8" w14:textId="77777777" w:rsidR="002F650F" w:rsidRDefault="008E208F" w:rsidP="00DA6A67">
      <w:pPr>
        <w:pStyle w:val="NadpisC"/>
      </w:pPr>
      <w:r>
        <w:lastRenderedPageBreak/>
        <w:t>5</w:t>
      </w:r>
      <w:r>
        <w:tab/>
      </w:r>
      <w:r w:rsidR="005B07AF">
        <w:t>V</w:t>
      </w:r>
      <w:r w:rsidR="002F650F" w:rsidRPr="00ED3333">
        <w:t>liv na dosažení požadovaných kapacit PPO</w:t>
      </w:r>
    </w:p>
    <w:p w14:paraId="6EB18CA5" w14:textId="77777777" w:rsidR="00EA04E6" w:rsidRDefault="00EA04E6" w:rsidP="00EA04E6">
      <w:pPr>
        <w:pStyle w:val="Bntext"/>
      </w:pPr>
      <w:r>
        <w:t>Vliv neutrální.</w:t>
      </w:r>
    </w:p>
    <w:p w14:paraId="2C6D91B9" w14:textId="77777777" w:rsidR="002F650F" w:rsidRDefault="008E208F" w:rsidP="00DA6A67">
      <w:pPr>
        <w:pStyle w:val="NadpisC"/>
      </w:pPr>
      <w:r>
        <w:t>6</w:t>
      </w:r>
      <w:r>
        <w:tab/>
      </w:r>
      <w:r w:rsidR="00ED3333">
        <w:t>M</w:t>
      </w:r>
      <w:r w:rsidR="002F650F">
        <w:t xml:space="preserve">ožnost adaptace </w:t>
      </w:r>
      <w:r w:rsidR="00DA6A67">
        <w:t xml:space="preserve">z hlediska </w:t>
      </w:r>
      <w:r w:rsidR="002F650F">
        <w:t>slučitel</w:t>
      </w:r>
      <w:r w:rsidR="00DA6A67">
        <w:t>nosti</w:t>
      </w:r>
      <w:r w:rsidR="002F650F">
        <w:t xml:space="preserve"> s koncepcí PPO</w:t>
      </w:r>
      <w:r w:rsidR="00DA6A67">
        <w:t xml:space="preserve"> </w:t>
      </w:r>
    </w:p>
    <w:p w14:paraId="027C42BF" w14:textId="77777777" w:rsidR="00EA04E6" w:rsidRPr="00CA6986" w:rsidRDefault="00EA04E6" w:rsidP="00EA04E6">
      <w:pPr>
        <w:pStyle w:val="Bntext"/>
      </w:pPr>
      <w:r w:rsidRPr="00CA6986">
        <w:t>Nutno dořešit přeložky inženýrských sítí (kanalizace DN800, vodovod, sděl. vedení)</w:t>
      </w:r>
      <w:r w:rsidR="0011618B" w:rsidRPr="00CA6986">
        <w:t xml:space="preserve"> v návaznosti na přeložky navrhované v rámci PPO vyvolané stavbou mostu. </w:t>
      </w:r>
      <w:r w:rsidR="00AC720D">
        <w:t>Přeložky sítí je nutno</w:t>
      </w:r>
      <w:r w:rsidR="0011618B" w:rsidRPr="00CA6986">
        <w:t xml:space="preserve"> koordinovat s opatřením D.16 parkové úpravy</w:t>
      </w:r>
      <w:r w:rsidR="00AC720D">
        <w:t>.</w:t>
      </w:r>
      <w:r w:rsidR="0011618B" w:rsidRPr="00CA6986">
        <w:t xml:space="preserve"> </w:t>
      </w:r>
      <w:r w:rsidR="00437D2E">
        <w:t xml:space="preserve">Ve studii navrhované řešení neskýtá prostor </w:t>
      </w:r>
      <w:r w:rsidR="00437D2E" w:rsidRPr="00CA6986">
        <w:t>pro přeložky</w:t>
      </w:r>
      <w:r w:rsidR="00437D2E">
        <w:t xml:space="preserve"> </w:t>
      </w:r>
      <w:r w:rsidR="00437D2E" w:rsidRPr="00CA6986">
        <w:t>(</w:t>
      </w:r>
      <w:r w:rsidR="00437D2E">
        <w:t>navrhované</w:t>
      </w:r>
      <w:r w:rsidR="00437D2E" w:rsidRPr="00CA6986">
        <w:t xml:space="preserve"> výsadby, silnice I/45). </w:t>
      </w:r>
      <w:r w:rsidR="00E33E19">
        <w:t>Ř</w:t>
      </w:r>
      <w:r w:rsidR="00437D2E">
        <w:t xml:space="preserve">ešením může být </w:t>
      </w:r>
      <w:r w:rsidR="0011618B" w:rsidRPr="00CA6986">
        <w:t>omezení</w:t>
      </w:r>
      <w:r w:rsidR="00AC720D">
        <w:t xml:space="preserve"> výsadeb</w:t>
      </w:r>
      <w:r w:rsidR="0011618B" w:rsidRPr="00CA6986">
        <w:t xml:space="preserve"> </w:t>
      </w:r>
      <w:r w:rsidR="00437D2E">
        <w:t>nebo realizace přeložek velkého rozsahu s dopadem na přilehlou infrastrukturu.</w:t>
      </w:r>
    </w:p>
    <w:p w14:paraId="7419595F" w14:textId="77777777" w:rsidR="00ED3333" w:rsidRDefault="00ED3333" w:rsidP="002F650F"/>
    <w:p w14:paraId="0B86965E" w14:textId="77777777" w:rsidR="00235460" w:rsidRDefault="00A824F4" w:rsidP="00A824F4">
      <w:pPr>
        <w:jc w:val="center"/>
      </w:pPr>
      <w:r>
        <w:rPr>
          <w:noProof/>
        </w:rPr>
        <w:drawing>
          <wp:inline distT="0" distB="0" distL="0" distR="0" wp14:anchorId="0CE5DD73" wp14:editId="696D315C">
            <wp:extent cx="4994442" cy="3128623"/>
            <wp:effectExtent l="0" t="0" r="0" b="0"/>
            <wp:docPr id="4" name="Obrázek 4" descr="R:\201044_krnov_studie\201044_31_A01_krnov_studie\Texty\Listy_opatreni\D_04\site_amfitea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201044_krnov_studie\201044_31_A01_krnov_studie\Texty\Listy_opatreni\D_04\site_amfiteatr.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24880" cy="3147690"/>
                    </a:xfrm>
                    <a:prstGeom prst="rect">
                      <a:avLst/>
                    </a:prstGeom>
                    <a:noFill/>
                    <a:ln>
                      <a:noFill/>
                    </a:ln>
                  </pic:spPr>
                </pic:pic>
              </a:graphicData>
            </a:graphic>
          </wp:inline>
        </w:drawing>
      </w:r>
    </w:p>
    <w:p w14:paraId="45433A23" w14:textId="77777777" w:rsidR="002F650F" w:rsidRDefault="007A41FB" w:rsidP="00DA6A67">
      <w:pPr>
        <w:pStyle w:val="NadpisC"/>
      </w:pPr>
      <w:r>
        <w:t>7</w:t>
      </w:r>
      <w:r>
        <w:tab/>
      </w:r>
      <w:r w:rsidR="00ED3333">
        <w:t>Z</w:t>
      </w:r>
      <w:r w:rsidR="002F650F">
        <w:t>hodnocení provozních hledisek z pohledu investor</w:t>
      </w:r>
      <w:r w:rsidR="00D454F4">
        <w:t>a PPO</w:t>
      </w:r>
    </w:p>
    <w:p w14:paraId="3F1A2E13" w14:textId="77777777" w:rsidR="00CA6986" w:rsidRDefault="00CA6986" w:rsidP="00CA6986">
      <w:pPr>
        <w:pStyle w:val="Bntext"/>
      </w:pPr>
      <w:r>
        <w:t xml:space="preserve">Zvýšené nároky na správu, údržbu, zajištění bezpečnosti osob. </w:t>
      </w:r>
      <w:bookmarkStart w:id="3" w:name="_Hlk34323544"/>
      <w:r>
        <w:t>Nutno vyřešit mezi investory otázky provozování a údržby.</w:t>
      </w:r>
    </w:p>
    <w:bookmarkEnd w:id="3"/>
    <w:p w14:paraId="6A66752D" w14:textId="77777777" w:rsidR="002F650F" w:rsidRDefault="007A41FB" w:rsidP="00DA6A67">
      <w:pPr>
        <w:pStyle w:val="NadpisC"/>
      </w:pPr>
      <w:r>
        <w:t>8</w:t>
      </w:r>
      <w:r>
        <w:tab/>
      </w:r>
      <w:r w:rsidR="00D454F4">
        <w:t>S</w:t>
      </w:r>
      <w:r w:rsidR="002F650F">
        <w:t xml:space="preserve">tanovisko </w:t>
      </w:r>
      <w:r w:rsidR="00DA6A67">
        <w:t>investora PPO</w:t>
      </w:r>
    </w:p>
    <w:p w14:paraId="77AA3D39" w14:textId="77777777" w:rsidR="00DA6A67" w:rsidRDefault="00470036" w:rsidP="00DA6A67">
      <w:pPr>
        <w:pStyle w:val="Bntext"/>
      </w:pPr>
      <w:r w:rsidRPr="00470036">
        <w:t>Z hlediska vodního hospodářství je navržené opatření možné po provedení úprav a za předpokladu projednání majetkoprávních vztahů a provozních podmínek</w:t>
      </w:r>
      <w:r>
        <w:t xml:space="preserve">. </w:t>
      </w:r>
    </w:p>
    <w:p w14:paraId="58FBB9E7" w14:textId="77777777" w:rsidR="00F47081" w:rsidRDefault="00F47081" w:rsidP="00F47081">
      <w:pPr>
        <w:pStyle w:val="Bntext"/>
      </w:pPr>
      <w:r>
        <w:t>Z hlediska investorství</w:t>
      </w:r>
      <w:r w:rsidRPr="00B90B01">
        <w:t xml:space="preserve"> </w:t>
      </w:r>
      <w:r w:rsidRPr="00F56DCE">
        <w:rPr>
          <w:b/>
          <w:bCs/>
        </w:rPr>
        <w:t>Typ 3</w:t>
      </w:r>
      <w:r w:rsidRPr="00542005">
        <w:t xml:space="preserve"> – </w:t>
      </w:r>
      <w:r>
        <w:t>koordinovaná stavba jiného investora.</w:t>
      </w:r>
    </w:p>
    <w:p w14:paraId="4C17B90B" w14:textId="77777777" w:rsidR="002F650F" w:rsidRDefault="00D454F4" w:rsidP="00DA6A67">
      <w:pPr>
        <w:pStyle w:val="NadpisC"/>
      </w:pPr>
      <w:r>
        <w:t>9</w:t>
      </w:r>
      <w:r w:rsidR="007A41FB">
        <w:tab/>
      </w:r>
      <w:r w:rsidR="00DA6A67">
        <w:t>N</w:t>
      </w:r>
      <w:r w:rsidR="002F650F">
        <w:t xml:space="preserve">ávrh </w:t>
      </w:r>
      <w:r w:rsidR="00DA6A67">
        <w:t xml:space="preserve">zásad </w:t>
      </w:r>
      <w:r w:rsidR="002F650F">
        <w:t xml:space="preserve">koordinace přípravy a realizace </w:t>
      </w:r>
    </w:p>
    <w:p w14:paraId="4522CAF0" w14:textId="77777777" w:rsidR="00A6177C" w:rsidRDefault="006D2B77" w:rsidP="002F650F">
      <w:r>
        <w:t xml:space="preserve">Opatření D.04 </w:t>
      </w:r>
      <w:r w:rsidR="00971B38">
        <w:t>A</w:t>
      </w:r>
      <w:r w:rsidRPr="006D2B77">
        <w:t>mfiteátr – pobytové stupně</w:t>
      </w:r>
      <w:r>
        <w:t xml:space="preserve"> souvisí s</w:t>
      </w:r>
      <w:r w:rsidR="00484685">
        <w:t> navazujícími opatřeními D.07</w:t>
      </w:r>
      <w:r w:rsidRPr="006D2B77">
        <w:t xml:space="preserve"> </w:t>
      </w:r>
      <w:r w:rsidR="00507C01">
        <w:t>Opěrná stěna šikmá</w:t>
      </w:r>
      <w:r w:rsidR="00A6177C">
        <w:t xml:space="preserve"> a D05 A</w:t>
      </w:r>
      <w:r w:rsidR="00A6177C" w:rsidRPr="006D2B77">
        <w:t>mfiteátr –</w:t>
      </w:r>
      <w:r w:rsidR="00A6177C">
        <w:t>plocha a náplavka</w:t>
      </w:r>
      <w:r w:rsidR="00507C01">
        <w:t>.</w:t>
      </w:r>
    </w:p>
    <w:p w14:paraId="62D04143" w14:textId="77777777" w:rsidR="00F47081" w:rsidRDefault="00A6177C" w:rsidP="00F47081">
      <w:r>
        <w:t xml:space="preserve">Navrhuje se realizovat námět jako navazující koordinovanou stavbu jiného investora (města Krnova) za jeho prostředky. </w:t>
      </w:r>
      <w:r w:rsidR="00507C01">
        <w:t xml:space="preserve"> </w:t>
      </w:r>
      <w:bookmarkStart w:id="4" w:name="_Hlk41915350"/>
      <w:r w:rsidR="00F47081">
        <w:t>Námět nebude zařazen do DUR</w:t>
      </w:r>
      <w:bookmarkEnd w:id="4"/>
      <w:r w:rsidR="00F47081">
        <w:t>, bude projednáván v samostatném řízení.</w:t>
      </w:r>
    </w:p>
    <w:p w14:paraId="6A648CA4" w14:textId="77777777" w:rsidR="00F47081" w:rsidRDefault="001414A5" w:rsidP="00F47081">
      <w:pPr>
        <w:pStyle w:val="Bntext"/>
      </w:pPr>
      <w:r>
        <w:t xml:space="preserve">Úpravy </w:t>
      </w:r>
      <w:r w:rsidR="00507C01">
        <w:t xml:space="preserve">LB pro vytvoření amfiteátru </w:t>
      </w:r>
      <w:r w:rsidR="00A6177C">
        <w:t>budou</w:t>
      </w:r>
      <w:r w:rsidR="00507C01">
        <w:t xml:space="preserve"> zasahovat do úprav provedených v rámci </w:t>
      </w:r>
      <w:r w:rsidR="004460E3">
        <w:t>DUR</w:t>
      </w:r>
      <w:r w:rsidR="00F47081">
        <w:t>:</w:t>
      </w:r>
      <w:r w:rsidR="00A6177C">
        <w:t xml:space="preserve"> </w:t>
      </w:r>
      <w:r w:rsidR="00507C01" w:rsidRPr="00141FE7">
        <w:t xml:space="preserve">SO </w:t>
      </w:r>
      <w:proofErr w:type="gramStart"/>
      <w:r w:rsidR="00507C01" w:rsidRPr="00141FE7">
        <w:t>090.12.2  Úpravy</w:t>
      </w:r>
      <w:proofErr w:type="gramEnd"/>
      <w:r w:rsidR="00507C01" w:rsidRPr="00141FE7">
        <w:t xml:space="preserve"> levého břehu v km 0,874 - 0,980</w:t>
      </w:r>
      <w:r w:rsidR="00A6177C">
        <w:t xml:space="preserve">, </w:t>
      </w:r>
      <w:r w:rsidR="0089215B" w:rsidRPr="00141FE7">
        <w:t>SO 090.53.2  Přeložka kanalizace DN 800 v km 0,883 - 0,958</w:t>
      </w:r>
      <w:r w:rsidR="00507C01">
        <w:t>.</w:t>
      </w:r>
      <w:r w:rsidR="004C6079">
        <w:t xml:space="preserve"> </w:t>
      </w:r>
      <w:r w:rsidR="0089215B" w:rsidRPr="00141FE7">
        <w:t>SO 090.52.3  Přeložka vodovodu DN 100 v km 0,889 – 0,943</w:t>
      </w:r>
      <w:r w:rsidR="0089215B">
        <w:t xml:space="preserve">, </w:t>
      </w:r>
      <w:r w:rsidR="0089215B" w:rsidRPr="00141FE7">
        <w:t>SO 090.56.3  Přeložka sdělovacího kabelu CETIN v km 0,928</w:t>
      </w:r>
      <w:r w:rsidR="0089215B">
        <w:t>. J</w:t>
      </w:r>
      <w:r w:rsidR="004C6079">
        <w:t>e nutno zajistit koordinaci s</w:t>
      </w:r>
      <w:r w:rsidR="0089215B">
        <w:t> těmito objekty stavby PPO</w:t>
      </w:r>
      <w:r w:rsidR="00F47081">
        <w:t>.</w:t>
      </w:r>
    </w:p>
    <w:p w14:paraId="2E745F99" w14:textId="14F759DD" w:rsidR="00DA6A67" w:rsidRDefault="00F47081" w:rsidP="007D6C44">
      <w:pPr>
        <w:pStyle w:val="Bntext"/>
      </w:pPr>
      <w:r>
        <w:t xml:space="preserve">Nutná bude </w:t>
      </w:r>
      <w:r w:rsidR="009C39F8">
        <w:t>dohoda investorů o zohlednění navazující stavby při řešení přeložek IS.</w:t>
      </w:r>
      <w:r w:rsidR="0089215B">
        <w:t xml:space="preserve"> </w:t>
      </w:r>
    </w:p>
    <w:p w14:paraId="703F3B5D" w14:textId="44D56351" w:rsidR="005972E1" w:rsidRDefault="005972E1" w:rsidP="007D6C44">
      <w:pPr>
        <w:pStyle w:val="Bntext"/>
      </w:pPr>
    </w:p>
    <w:tbl>
      <w:tblPr>
        <w:tblStyle w:val="Mkatabulky"/>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9062"/>
      </w:tblGrid>
      <w:tr w:rsidR="001B42C9" w:rsidRPr="00ED5BBD" w14:paraId="0D07C854" w14:textId="77777777" w:rsidTr="00BC25DC">
        <w:tc>
          <w:tcPr>
            <w:tcW w:w="9062" w:type="dxa"/>
            <w:shd w:val="clear" w:color="auto" w:fill="F2F2F2" w:themeFill="background1" w:themeFillShade="F2"/>
            <w:hideMark/>
          </w:tcPr>
          <w:p w14:paraId="56FEEE46" w14:textId="77777777" w:rsidR="001B42C9" w:rsidRPr="00ED5BBD" w:rsidRDefault="001B42C9" w:rsidP="00BC25DC">
            <w:pPr>
              <w:rPr>
                <w:rFonts w:cs="Arial"/>
                <w:b/>
                <w:bCs/>
                <w:color w:val="FF0000"/>
                <w:szCs w:val="20"/>
              </w:rPr>
            </w:pPr>
            <w:bookmarkStart w:id="5" w:name="_Hlk48577253"/>
            <w:r w:rsidRPr="00ED5BBD">
              <w:rPr>
                <w:rFonts w:cs="Arial"/>
                <w:b/>
                <w:bCs/>
                <w:color w:val="FF0000"/>
                <w:sz w:val="24"/>
              </w:rPr>
              <w:lastRenderedPageBreak/>
              <w:t>ZÁVĚR</w:t>
            </w:r>
          </w:p>
        </w:tc>
      </w:tr>
      <w:tr w:rsidR="001B42C9" w:rsidRPr="00ED5BBD" w14:paraId="74F5008B" w14:textId="77777777" w:rsidTr="00BC25DC">
        <w:tc>
          <w:tcPr>
            <w:tcW w:w="9062" w:type="dxa"/>
            <w:hideMark/>
          </w:tcPr>
          <w:p w14:paraId="15540DDF" w14:textId="77777777" w:rsidR="001B42C9" w:rsidRDefault="001B42C9" w:rsidP="001B42C9">
            <w:pPr>
              <w:pStyle w:val="Bntext"/>
              <w:rPr>
                <w:color w:val="FF0000"/>
                <w:szCs w:val="20"/>
              </w:rPr>
            </w:pPr>
            <w:r>
              <w:rPr>
                <w:color w:val="FF0000"/>
                <w:szCs w:val="20"/>
              </w:rPr>
              <w:t>Souhlasíme se stanoviskem.</w:t>
            </w:r>
          </w:p>
          <w:p w14:paraId="54A4DB58" w14:textId="77777777" w:rsidR="001B42C9" w:rsidRDefault="001B42C9" w:rsidP="001B42C9">
            <w:pPr>
              <w:pStyle w:val="Bntext"/>
              <w:rPr>
                <w:color w:val="FF0000"/>
                <w:szCs w:val="20"/>
              </w:rPr>
            </w:pPr>
            <w:bookmarkStart w:id="6" w:name="_Hlk48307328"/>
            <w:r>
              <w:rPr>
                <w:color w:val="FF0000"/>
                <w:szCs w:val="20"/>
              </w:rPr>
              <w:t xml:space="preserve">Pro město Krnov: </w:t>
            </w:r>
          </w:p>
          <w:p w14:paraId="537FB16C" w14:textId="77777777" w:rsidR="001B42C9" w:rsidRDefault="001B42C9" w:rsidP="001B42C9">
            <w:pPr>
              <w:pStyle w:val="Bntext"/>
              <w:rPr>
                <w:color w:val="FF0000"/>
                <w:szCs w:val="20"/>
              </w:rPr>
            </w:pPr>
            <w:r>
              <w:rPr>
                <w:color w:val="FF0000"/>
                <w:szCs w:val="20"/>
              </w:rPr>
              <w:t>_ kolize s kanalizací – prověřit stav kanalizace průzkumem</w:t>
            </w:r>
          </w:p>
          <w:bookmarkEnd w:id="6"/>
          <w:p w14:paraId="64D45C44" w14:textId="77777777" w:rsidR="001B42C9" w:rsidRPr="00ED5BBD" w:rsidRDefault="001B42C9" w:rsidP="00BC25DC">
            <w:pPr>
              <w:pStyle w:val="Bntext"/>
              <w:rPr>
                <w:rFonts w:cs="Arial"/>
                <w:color w:val="FF0000"/>
                <w:szCs w:val="20"/>
              </w:rPr>
            </w:pPr>
          </w:p>
          <w:p w14:paraId="41E478A4" w14:textId="77777777" w:rsidR="001B42C9" w:rsidRPr="00ED5BBD" w:rsidRDefault="001B42C9" w:rsidP="00BC25DC">
            <w:pPr>
              <w:rPr>
                <w:rFonts w:cs="Arial"/>
                <w:color w:val="FF0000"/>
                <w:szCs w:val="20"/>
              </w:rPr>
            </w:pPr>
          </w:p>
        </w:tc>
      </w:tr>
      <w:tr w:rsidR="001B42C9" w:rsidRPr="00ED5BBD" w14:paraId="3129EA12" w14:textId="77777777" w:rsidTr="00BC25DC">
        <w:tc>
          <w:tcPr>
            <w:tcW w:w="9062" w:type="dxa"/>
            <w:shd w:val="clear" w:color="auto" w:fill="auto"/>
          </w:tcPr>
          <w:p w14:paraId="7622D3F2" w14:textId="77777777" w:rsidR="001B42C9" w:rsidRPr="00ED5BBD" w:rsidRDefault="001B42C9" w:rsidP="00BC25DC">
            <w:pPr>
              <w:rPr>
                <w:rFonts w:cs="Arial"/>
                <w:color w:val="FF0000"/>
                <w:szCs w:val="20"/>
              </w:rPr>
            </w:pPr>
            <w:r w:rsidRPr="00ED5BBD">
              <w:rPr>
                <w:rFonts w:cs="Arial"/>
                <w:i/>
                <w:iCs/>
                <w:color w:val="FF0000"/>
                <w:szCs w:val="20"/>
              </w:rPr>
              <w:t xml:space="preserve">pozn.: závěr vychází z konzultací ke koordinaci záměru Studie „Krnov: Řeka ve městě“ a projektové dokumentace DUR stavby OHO 02.090, Opatření Krnov-město, konaných 6.8.2020 a 14.8.2020 v kanceláři fy. </w:t>
            </w:r>
            <w:proofErr w:type="spellStart"/>
            <w:r w:rsidRPr="00ED5BBD">
              <w:rPr>
                <w:rFonts w:cs="Arial"/>
                <w:i/>
                <w:iCs/>
                <w:color w:val="FF0000"/>
                <w:szCs w:val="20"/>
              </w:rPr>
              <w:t>Aquatis</w:t>
            </w:r>
            <w:proofErr w:type="spellEnd"/>
            <w:r w:rsidRPr="00ED5BBD">
              <w:rPr>
                <w:rFonts w:cs="Arial"/>
                <w:i/>
                <w:iCs/>
                <w:color w:val="FF0000"/>
                <w:szCs w:val="20"/>
              </w:rPr>
              <w:t xml:space="preserve">, a.s. za účasti zástupců fy. </w:t>
            </w:r>
            <w:proofErr w:type="spellStart"/>
            <w:r w:rsidRPr="00ED5BBD">
              <w:rPr>
                <w:rFonts w:cs="Arial"/>
                <w:i/>
                <w:iCs/>
                <w:color w:val="FF0000"/>
                <w:szCs w:val="20"/>
              </w:rPr>
              <w:t>Aquatis</w:t>
            </w:r>
            <w:proofErr w:type="spellEnd"/>
            <w:r w:rsidRPr="00ED5BBD">
              <w:rPr>
                <w:rFonts w:cs="Arial"/>
                <w:i/>
                <w:iCs/>
                <w:color w:val="FF0000"/>
                <w:szCs w:val="20"/>
              </w:rPr>
              <w:t xml:space="preserve">, a.s. (Švancara, Mikulášek) a týmu Studie „Krnov: řeka ve městě“ (Machovský, Ondruška, Atelier </w:t>
            </w:r>
            <w:proofErr w:type="spellStart"/>
            <w:r w:rsidRPr="00ED5BBD">
              <w:rPr>
                <w:rFonts w:cs="Arial"/>
                <w:i/>
                <w:iCs/>
                <w:color w:val="FF0000"/>
                <w:szCs w:val="20"/>
              </w:rPr>
              <w:t>Fontes</w:t>
            </w:r>
            <w:proofErr w:type="spellEnd"/>
            <w:r w:rsidRPr="00ED5BBD">
              <w:rPr>
                <w:rFonts w:cs="Arial"/>
                <w:i/>
                <w:iCs/>
                <w:color w:val="FF0000"/>
                <w:szCs w:val="20"/>
              </w:rPr>
              <w:t>, s.r.o. – Havlíček, Řiháček)</w:t>
            </w:r>
          </w:p>
        </w:tc>
      </w:tr>
      <w:bookmarkEnd w:id="5"/>
    </w:tbl>
    <w:p w14:paraId="63170EAB" w14:textId="77777777" w:rsidR="005A0F82" w:rsidRDefault="005A0F82" w:rsidP="005972E1">
      <w:pPr>
        <w:pStyle w:val="Bntext"/>
        <w:rPr>
          <w:color w:val="FF0000"/>
          <w:szCs w:val="20"/>
        </w:rPr>
      </w:pPr>
    </w:p>
    <w:p w14:paraId="494FE222" w14:textId="77777777" w:rsidR="005972E1" w:rsidRDefault="005972E1" w:rsidP="007D6C44">
      <w:pPr>
        <w:pStyle w:val="Bntext"/>
      </w:pPr>
    </w:p>
    <w:sectPr w:rsidR="005972E1">
      <w:headerReference w:type="default" r:id="rId10"/>
      <w:footerReference w:type="default" r:id="rId11"/>
      <w:pgSz w:w="11906" w:h="16838"/>
      <w:pgMar w:top="1418" w:right="1418" w:bottom="1418" w:left="1418" w:header="851" w:footer="31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04BF08E" w14:textId="77777777" w:rsidR="00CB3399" w:rsidRDefault="00CB3399">
      <w:r>
        <w:separator/>
      </w:r>
    </w:p>
  </w:endnote>
  <w:endnote w:type="continuationSeparator" w:id="0">
    <w:p w14:paraId="554C5C58" w14:textId="77777777" w:rsidR="00CB3399" w:rsidRDefault="00CB33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CellMar>
        <w:left w:w="70" w:type="dxa"/>
        <w:right w:w="70" w:type="dxa"/>
      </w:tblCellMar>
      <w:tblLook w:val="0000" w:firstRow="0" w:lastRow="0" w:firstColumn="0" w:lastColumn="0" w:noHBand="0" w:noVBand="0"/>
    </w:tblPr>
    <w:tblGrid>
      <w:gridCol w:w="4605"/>
      <w:gridCol w:w="4605"/>
    </w:tblGrid>
    <w:tr w:rsidR="00BE0FEB" w14:paraId="06E85066" w14:textId="77777777">
      <w:trPr>
        <w:cantSplit/>
      </w:trPr>
      <w:tc>
        <w:tcPr>
          <w:tcW w:w="9210" w:type="dxa"/>
          <w:gridSpan w:val="2"/>
          <w:tcBorders>
            <w:bottom w:val="single" w:sz="4" w:space="0" w:color="auto"/>
          </w:tcBorders>
        </w:tcPr>
        <w:p w14:paraId="140B0C6C" w14:textId="77777777" w:rsidR="00BE0FEB" w:rsidRDefault="00BE0FEB" w:rsidP="001E1F3D">
          <w:pPr>
            <w:pStyle w:val="Zpat"/>
          </w:pPr>
          <w:r>
            <w:t xml:space="preserve">Copyright </w:t>
          </w:r>
          <w:r>
            <w:rPr>
              <w:rFonts w:cs="Arial"/>
              <w:sz w:val="26"/>
              <w:szCs w:val="26"/>
            </w:rPr>
            <w:t xml:space="preserve">© </w:t>
          </w:r>
          <w:r w:rsidR="001E1F3D">
            <w:rPr>
              <w:rFonts w:ascii="Helv" w:hAnsi="Helv"/>
              <w:color w:val="000000"/>
              <w:szCs w:val="20"/>
            </w:rPr>
            <w:t>AQUATIS</w:t>
          </w:r>
          <w:r>
            <w:rPr>
              <w:rFonts w:ascii="Helv" w:hAnsi="Helv"/>
              <w:color w:val="000000"/>
              <w:szCs w:val="20"/>
            </w:rPr>
            <w:t xml:space="preserve"> a.s.</w:t>
          </w:r>
        </w:p>
      </w:tc>
    </w:tr>
    <w:tr w:rsidR="00BE0FEB" w14:paraId="2C109502" w14:textId="77777777">
      <w:tc>
        <w:tcPr>
          <w:tcW w:w="4605" w:type="dxa"/>
          <w:tcBorders>
            <w:top w:val="single" w:sz="4" w:space="0" w:color="auto"/>
          </w:tcBorders>
        </w:tcPr>
        <w:p w14:paraId="1960FF45" w14:textId="57D53DB3" w:rsidR="00BE0FEB" w:rsidRDefault="00CB3399">
          <w:pPr>
            <w:pStyle w:val="Zpat"/>
          </w:pPr>
          <w:r>
            <w:fldChar w:fldCharType="begin"/>
          </w:r>
          <w:r>
            <w:instrText xml:space="preserve"> FILENAME  \* MERGEFORMAT </w:instrText>
          </w:r>
          <w:r>
            <w:fldChar w:fldCharType="separate"/>
          </w:r>
          <w:r w:rsidR="001B42C9">
            <w:rPr>
              <w:noProof/>
            </w:rPr>
            <w:t>D_04+zaver 08-2020.docx</w:t>
          </w:r>
          <w:r>
            <w:rPr>
              <w:noProof/>
            </w:rPr>
            <w:fldChar w:fldCharType="end"/>
          </w:r>
        </w:p>
      </w:tc>
      <w:tc>
        <w:tcPr>
          <w:tcW w:w="4605" w:type="dxa"/>
          <w:tcBorders>
            <w:top w:val="single" w:sz="4" w:space="0" w:color="auto"/>
          </w:tcBorders>
          <w:vAlign w:val="bottom"/>
        </w:tcPr>
        <w:p w14:paraId="392DC5F8" w14:textId="77777777" w:rsidR="00BE0FEB" w:rsidRDefault="00BE0FEB">
          <w:pPr>
            <w:pStyle w:val="Zpat"/>
            <w:jc w:val="right"/>
          </w:pPr>
          <w:r>
            <w:t xml:space="preserve">strana </w:t>
          </w:r>
          <w:r>
            <w:fldChar w:fldCharType="begin"/>
          </w:r>
          <w:r>
            <w:instrText xml:space="preserve"> PAGE </w:instrText>
          </w:r>
          <w:r>
            <w:fldChar w:fldCharType="separate"/>
          </w:r>
          <w:r w:rsidR="001E1F3D">
            <w:rPr>
              <w:noProof/>
            </w:rPr>
            <w:t>1</w:t>
          </w:r>
          <w:r>
            <w:fldChar w:fldCharType="end"/>
          </w:r>
        </w:p>
      </w:tc>
    </w:tr>
  </w:tbl>
  <w:p w14:paraId="1331465F" w14:textId="77777777" w:rsidR="00BE0FEB" w:rsidRDefault="00BE0FEB">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AE8AB97" w14:textId="77777777" w:rsidR="00CB3399" w:rsidRDefault="00CB3399">
      <w:r>
        <w:separator/>
      </w:r>
    </w:p>
  </w:footnote>
  <w:footnote w:type="continuationSeparator" w:id="0">
    <w:p w14:paraId="58366646" w14:textId="77777777" w:rsidR="00CB3399" w:rsidRDefault="00CB33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72" w:type="dxa"/>
      <w:tblCellMar>
        <w:left w:w="70" w:type="dxa"/>
        <w:right w:w="70" w:type="dxa"/>
      </w:tblCellMar>
      <w:tblLook w:val="0000" w:firstRow="0" w:lastRow="0" w:firstColumn="0" w:lastColumn="0" w:noHBand="0" w:noVBand="0"/>
    </w:tblPr>
    <w:tblGrid>
      <w:gridCol w:w="4677"/>
      <w:gridCol w:w="4605"/>
    </w:tblGrid>
    <w:tr w:rsidR="00BC0753" w14:paraId="15758512" w14:textId="77777777" w:rsidTr="002F650F">
      <w:tc>
        <w:tcPr>
          <w:tcW w:w="4677" w:type="dxa"/>
          <w:tcBorders>
            <w:bottom w:val="single" w:sz="4" w:space="0" w:color="auto"/>
          </w:tcBorders>
        </w:tcPr>
        <w:p w14:paraId="7878BC7A" w14:textId="77777777" w:rsidR="00BC0753" w:rsidRDefault="00101B48" w:rsidP="00BC0753">
          <w:pPr>
            <w:pStyle w:val="Zhlav"/>
          </w:pPr>
          <w:r>
            <w:t>List opatření</w:t>
          </w:r>
        </w:p>
      </w:tc>
      <w:tc>
        <w:tcPr>
          <w:tcW w:w="4605" w:type="dxa"/>
          <w:tcBorders>
            <w:bottom w:val="single" w:sz="4" w:space="0" w:color="auto"/>
          </w:tcBorders>
          <w:vAlign w:val="bottom"/>
        </w:tcPr>
        <w:p w14:paraId="4AE38516" w14:textId="77777777" w:rsidR="00BC0753" w:rsidRDefault="00BC0753" w:rsidP="00BC0753">
          <w:pPr>
            <w:pStyle w:val="Zhlav"/>
            <w:jc w:val="right"/>
          </w:pPr>
          <w:r w:rsidRPr="005972D8">
            <w:t>Posouzení návrhu řešení města Krnov</w:t>
          </w:r>
          <w:r>
            <w:t>a</w:t>
          </w:r>
          <w:r w:rsidRPr="005972D8">
            <w:t xml:space="preserve"> </w:t>
          </w:r>
          <w:r>
            <w:br/>
          </w:r>
          <w:r w:rsidRPr="005972D8">
            <w:t>podle studie "Krnov: Řeka ve městě"</w:t>
          </w:r>
        </w:p>
      </w:tc>
    </w:tr>
    <w:tr w:rsidR="00BE0FEB" w14:paraId="11F7B257" w14:textId="77777777" w:rsidTr="002F650F">
      <w:trPr>
        <w:cantSplit/>
      </w:trPr>
      <w:tc>
        <w:tcPr>
          <w:tcW w:w="9282" w:type="dxa"/>
          <w:gridSpan w:val="2"/>
          <w:tcBorders>
            <w:top w:val="single" w:sz="4" w:space="0" w:color="auto"/>
            <w:bottom w:val="nil"/>
          </w:tcBorders>
        </w:tcPr>
        <w:p w14:paraId="587EC27A" w14:textId="77777777" w:rsidR="00BE0FEB" w:rsidRDefault="0099607B">
          <w:pPr>
            <w:pStyle w:val="Zhlav"/>
            <w:jc w:val="right"/>
          </w:pPr>
          <w:proofErr w:type="gramStart"/>
          <w:r>
            <w:t>20044A</w:t>
          </w:r>
          <w:proofErr w:type="gramEnd"/>
        </w:p>
      </w:tc>
    </w:tr>
  </w:tbl>
  <w:p w14:paraId="66817C49" w14:textId="77777777" w:rsidR="00BE0FEB" w:rsidRDefault="00BE0FE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E"/>
    <w:multiLevelType w:val="singleLevel"/>
    <w:tmpl w:val="FC2CBE5E"/>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0F20B8A0"/>
    <w:lvl w:ilvl="0">
      <w:start w:val="1"/>
      <w:numFmt w:val="decimal"/>
      <w:lvlText w:val="%1."/>
      <w:lvlJc w:val="left"/>
      <w:pPr>
        <w:tabs>
          <w:tab w:val="num" w:pos="643"/>
        </w:tabs>
        <w:ind w:left="643" w:hanging="360"/>
      </w:pPr>
    </w:lvl>
  </w:abstractNum>
  <w:abstractNum w:abstractNumId="2" w15:restartNumberingAfterBreak="0">
    <w:nsid w:val="FFFFFF82"/>
    <w:multiLevelType w:val="singleLevel"/>
    <w:tmpl w:val="2438FC38"/>
    <w:lvl w:ilvl="0">
      <w:start w:val="1"/>
      <w:numFmt w:val="bullet"/>
      <w:pStyle w:val="Seznamsodrkami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6A2B2D0"/>
    <w:lvl w:ilvl="0">
      <w:start w:val="1"/>
      <w:numFmt w:val="bullet"/>
      <w:pStyle w:val="Seznamsodrkami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45C2A698"/>
    <w:lvl w:ilvl="0">
      <w:start w:val="1"/>
      <w:numFmt w:val="decimal"/>
      <w:lvlText w:val="%1."/>
      <w:lvlJc w:val="left"/>
      <w:pPr>
        <w:tabs>
          <w:tab w:val="num" w:pos="360"/>
        </w:tabs>
        <w:ind w:left="360" w:hanging="360"/>
      </w:pPr>
    </w:lvl>
  </w:abstractNum>
  <w:abstractNum w:abstractNumId="5" w15:restartNumberingAfterBreak="0">
    <w:nsid w:val="FFFFFF89"/>
    <w:multiLevelType w:val="singleLevel"/>
    <w:tmpl w:val="F466B274"/>
    <w:lvl w:ilvl="0">
      <w:start w:val="1"/>
      <w:numFmt w:val="bullet"/>
      <w:pStyle w:val="Seznamsodrkami"/>
      <w:lvlText w:val=""/>
      <w:lvlJc w:val="left"/>
      <w:pPr>
        <w:tabs>
          <w:tab w:val="num" w:pos="360"/>
        </w:tabs>
        <w:ind w:left="360" w:hanging="360"/>
      </w:pPr>
      <w:rPr>
        <w:rFonts w:ascii="Symbol" w:hAnsi="Symbol" w:hint="default"/>
      </w:rPr>
    </w:lvl>
  </w:abstractNum>
  <w:abstractNum w:abstractNumId="6" w15:restartNumberingAfterBreak="0">
    <w:nsid w:val="4F3A3C96"/>
    <w:multiLevelType w:val="hybridMultilevel"/>
    <w:tmpl w:val="26B43D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5D8452E4"/>
    <w:multiLevelType w:val="multilevel"/>
    <w:tmpl w:val="63E00C6E"/>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rPr>
    </w:lvl>
    <w:lvl w:ilvl="3">
      <w:start w:val="1"/>
      <w:numFmt w:val="decimal"/>
      <w:pStyle w:val="Nadpis4"/>
      <w:lvlText w:val="%1.%2.%3.%4"/>
      <w:lvlJc w:val="left"/>
      <w:pPr>
        <w:tabs>
          <w:tab w:val="num" w:pos="1080"/>
        </w:tabs>
        <w:ind w:left="851" w:hanging="851"/>
      </w:pPr>
      <w:rPr>
        <w:rFonts w:hint="default"/>
      </w:rPr>
    </w:lvl>
    <w:lvl w:ilvl="4">
      <w:start w:val="1"/>
      <w:numFmt w:val="decimal"/>
      <w:lvlText w:val="%1.%2.%3.%4.%5"/>
      <w:lvlJc w:val="left"/>
      <w:pPr>
        <w:tabs>
          <w:tab w:val="num" w:pos="1440"/>
        </w:tabs>
        <w:ind w:left="851" w:hanging="851"/>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num w:numId="1">
    <w:abstractNumId w:val="4"/>
  </w:num>
  <w:num w:numId="2">
    <w:abstractNumId w:val="1"/>
  </w:num>
  <w:num w:numId="3">
    <w:abstractNumId w:val="0"/>
  </w:num>
  <w:num w:numId="4">
    <w:abstractNumId w:val="7"/>
  </w:num>
  <w:num w:numId="5">
    <w:abstractNumId w:val="7"/>
  </w:num>
  <w:num w:numId="6">
    <w:abstractNumId w:val="7"/>
  </w:num>
  <w:num w:numId="7">
    <w:abstractNumId w:val="7"/>
  </w:num>
  <w:num w:numId="8">
    <w:abstractNumId w:val="5"/>
  </w:num>
  <w:num w:numId="9">
    <w:abstractNumId w:val="5"/>
  </w:num>
  <w:num w:numId="10">
    <w:abstractNumId w:val="3"/>
  </w:num>
  <w:num w:numId="11">
    <w:abstractNumId w:val="3"/>
  </w:num>
  <w:num w:numId="12">
    <w:abstractNumId w:val="2"/>
  </w:num>
  <w:num w:numId="13">
    <w:abstractNumId w:val="2"/>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BD23D3"/>
    <w:rsid w:val="00035C1F"/>
    <w:rsid w:val="0004043C"/>
    <w:rsid w:val="00064637"/>
    <w:rsid w:val="00101B48"/>
    <w:rsid w:val="0011618B"/>
    <w:rsid w:val="001414A5"/>
    <w:rsid w:val="001B42C9"/>
    <w:rsid w:val="001D41A3"/>
    <w:rsid w:val="001D6AFC"/>
    <w:rsid w:val="001E1F3D"/>
    <w:rsid w:val="0020798E"/>
    <w:rsid w:val="00235460"/>
    <w:rsid w:val="00281B28"/>
    <w:rsid w:val="00287EE1"/>
    <w:rsid w:val="002A4E97"/>
    <w:rsid w:val="002E1944"/>
    <w:rsid w:val="002F08DA"/>
    <w:rsid w:val="002F650F"/>
    <w:rsid w:val="003F5A51"/>
    <w:rsid w:val="00432388"/>
    <w:rsid w:val="00437D2E"/>
    <w:rsid w:val="00444D9F"/>
    <w:rsid w:val="004460E3"/>
    <w:rsid w:val="00470036"/>
    <w:rsid w:val="00484685"/>
    <w:rsid w:val="00493812"/>
    <w:rsid w:val="004C6079"/>
    <w:rsid w:val="004D78DA"/>
    <w:rsid w:val="00507C01"/>
    <w:rsid w:val="005972E1"/>
    <w:rsid w:val="005A0F82"/>
    <w:rsid w:val="005B07AF"/>
    <w:rsid w:val="005E182B"/>
    <w:rsid w:val="005E523B"/>
    <w:rsid w:val="0067731D"/>
    <w:rsid w:val="00693F6B"/>
    <w:rsid w:val="006D2B77"/>
    <w:rsid w:val="00706860"/>
    <w:rsid w:val="0073186C"/>
    <w:rsid w:val="007A2D92"/>
    <w:rsid w:val="007A41FB"/>
    <w:rsid w:val="007A7557"/>
    <w:rsid w:val="007B2488"/>
    <w:rsid w:val="007D6C44"/>
    <w:rsid w:val="0089215B"/>
    <w:rsid w:val="008E208F"/>
    <w:rsid w:val="00947DE4"/>
    <w:rsid w:val="00971B38"/>
    <w:rsid w:val="0099607B"/>
    <w:rsid w:val="009A2EF0"/>
    <w:rsid w:val="009A7208"/>
    <w:rsid w:val="009B4603"/>
    <w:rsid w:val="009C39F8"/>
    <w:rsid w:val="00A6177C"/>
    <w:rsid w:val="00A824F4"/>
    <w:rsid w:val="00AB26F9"/>
    <w:rsid w:val="00AC720D"/>
    <w:rsid w:val="00AD2566"/>
    <w:rsid w:val="00B1152D"/>
    <w:rsid w:val="00B50DEA"/>
    <w:rsid w:val="00B53AF0"/>
    <w:rsid w:val="00BC0753"/>
    <w:rsid w:val="00BD23D3"/>
    <w:rsid w:val="00BE0FEB"/>
    <w:rsid w:val="00BE6F5A"/>
    <w:rsid w:val="00CA6986"/>
    <w:rsid w:val="00CB3399"/>
    <w:rsid w:val="00D454F4"/>
    <w:rsid w:val="00D70C4B"/>
    <w:rsid w:val="00DA6A67"/>
    <w:rsid w:val="00DD08D4"/>
    <w:rsid w:val="00DD256E"/>
    <w:rsid w:val="00E25109"/>
    <w:rsid w:val="00E33E19"/>
    <w:rsid w:val="00E63454"/>
    <w:rsid w:val="00EA04E6"/>
    <w:rsid w:val="00ED3333"/>
    <w:rsid w:val="00ED6A4D"/>
    <w:rsid w:val="00F47081"/>
    <w:rsid w:val="00F5291C"/>
    <w:rsid w:val="00F64132"/>
    <w:rsid w:val="00FD51B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7ED9D2D"/>
  <w15:docId w15:val="{5989D4D7-8FFD-4805-BBD4-8288A72708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rFonts w:ascii="Arial" w:hAnsi="Arial"/>
      <w:szCs w:val="24"/>
    </w:rPr>
  </w:style>
  <w:style w:type="paragraph" w:styleId="Nadpis1">
    <w:name w:val="heading 1"/>
    <w:basedOn w:val="Normln"/>
    <w:next w:val="Bntext"/>
    <w:qFormat/>
    <w:pPr>
      <w:keepNext/>
      <w:widowControl w:val="0"/>
      <w:numPr>
        <w:numId w:val="4"/>
      </w:numPr>
      <w:spacing w:before="240" w:after="60"/>
      <w:outlineLvl w:val="0"/>
    </w:pPr>
    <w:rPr>
      <w:rFonts w:cs="Arial"/>
      <w:b/>
      <w:bCs/>
      <w:caps/>
      <w:kern w:val="28"/>
      <w:sz w:val="28"/>
      <w:szCs w:val="32"/>
    </w:rPr>
  </w:style>
  <w:style w:type="paragraph" w:styleId="Nadpis2">
    <w:name w:val="heading 2"/>
    <w:basedOn w:val="Normln"/>
    <w:next w:val="Bntext"/>
    <w:qFormat/>
    <w:pPr>
      <w:keepNext/>
      <w:widowControl w:val="0"/>
      <w:numPr>
        <w:ilvl w:val="1"/>
        <w:numId w:val="5"/>
      </w:numPr>
      <w:spacing w:before="240" w:after="60"/>
      <w:outlineLvl w:val="1"/>
    </w:pPr>
    <w:rPr>
      <w:rFonts w:cs="Arial"/>
      <w:b/>
      <w:bCs/>
      <w:iCs/>
      <w:kern w:val="28"/>
      <w:sz w:val="28"/>
      <w:szCs w:val="28"/>
    </w:rPr>
  </w:style>
  <w:style w:type="paragraph" w:styleId="Nadpis3">
    <w:name w:val="heading 3"/>
    <w:basedOn w:val="Normln"/>
    <w:next w:val="Bntext"/>
    <w:qFormat/>
    <w:pPr>
      <w:keepNext/>
      <w:widowControl w:val="0"/>
      <w:numPr>
        <w:ilvl w:val="2"/>
        <w:numId w:val="6"/>
      </w:numPr>
      <w:spacing w:before="240" w:after="60"/>
      <w:outlineLvl w:val="2"/>
    </w:pPr>
    <w:rPr>
      <w:rFonts w:cs="Arial"/>
      <w:b/>
      <w:bCs/>
      <w:kern w:val="24"/>
      <w:sz w:val="24"/>
      <w:szCs w:val="26"/>
    </w:rPr>
  </w:style>
  <w:style w:type="paragraph" w:styleId="Nadpis4">
    <w:name w:val="heading 4"/>
    <w:basedOn w:val="Normln"/>
    <w:next w:val="Bntext"/>
    <w:qFormat/>
    <w:pPr>
      <w:keepNext/>
      <w:widowControl w:val="0"/>
      <w:numPr>
        <w:ilvl w:val="3"/>
        <w:numId w:val="7"/>
      </w:numPr>
      <w:tabs>
        <w:tab w:val="clear" w:pos="1080"/>
        <w:tab w:val="left" w:pos="851"/>
      </w:tabs>
      <w:spacing w:before="240" w:after="60"/>
      <w:outlineLvl w:val="3"/>
    </w:pPr>
    <w:rPr>
      <w:b/>
      <w:bCs/>
      <w:kern w:val="22"/>
      <w:sz w:val="22"/>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pPr>
      <w:widowControl w:val="0"/>
      <w:spacing w:before="60" w:after="60"/>
    </w:pPr>
    <w:rPr>
      <w:i/>
    </w:rPr>
  </w:style>
  <w:style w:type="paragraph" w:styleId="Zpat">
    <w:name w:val="footer"/>
    <w:basedOn w:val="Normln"/>
    <w:pPr>
      <w:widowControl w:val="0"/>
      <w:spacing w:before="60" w:after="60"/>
    </w:pPr>
    <w:rPr>
      <w:i/>
    </w:rPr>
  </w:style>
  <w:style w:type="paragraph" w:customStyle="1" w:styleId="Bntext">
    <w:name w:val="Běžný text"/>
    <w:basedOn w:val="Normln"/>
    <w:link w:val="BntextChar"/>
    <w:qFormat/>
    <w:pPr>
      <w:widowControl w:val="0"/>
      <w:spacing w:before="60" w:after="60"/>
      <w:jc w:val="both"/>
    </w:pPr>
  </w:style>
  <w:style w:type="paragraph" w:customStyle="1" w:styleId="Bntextodsazen">
    <w:name w:val="Běžný text odsazený"/>
    <w:basedOn w:val="Normln"/>
    <w:pPr>
      <w:widowControl w:val="0"/>
      <w:spacing w:before="60" w:after="60"/>
      <w:ind w:left="851"/>
    </w:pPr>
  </w:style>
  <w:style w:type="paragraph" w:styleId="slovanseznam">
    <w:name w:val="List Number"/>
    <w:basedOn w:val="Normln"/>
    <w:pPr>
      <w:widowControl w:val="0"/>
      <w:tabs>
        <w:tab w:val="left" w:pos="357"/>
      </w:tabs>
      <w:ind w:left="357" w:hanging="357"/>
    </w:pPr>
  </w:style>
  <w:style w:type="paragraph" w:styleId="slovanseznam2">
    <w:name w:val="List Number 2"/>
    <w:basedOn w:val="Normln"/>
    <w:pPr>
      <w:widowControl w:val="0"/>
      <w:tabs>
        <w:tab w:val="left" w:pos="851"/>
      </w:tabs>
      <w:ind w:left="851" w:hanging="851"/>
    </w:pPr>
  </w:style>
  <w:style w:type="paragraph" w:styleId="slovanseznam3">
    <w:name w:val="List Number 3"/>
    <w:basedOn w:val="Normln"/>
    <w:pPr>
      <w:widowControl w:val="0"/>
      <w:tabs>
        <w:tab w:val="left" w:pos="851"/>
      </w:tabs>
      <w:ind w:left="851" w:hanging="284"/>
    </w:pPr>
  </w:style>
  <w:style w:type="paragraph" w:customStyle="1" w:styleId="NadpisA">
    <w:name w:val="Nadpis A"/>
    <w:basedOn w:val="Normln"/>
    <w:next w:val="Bntext"/>
    <w:pPr>
      <w:keepNext/>
      <w:widowControl w:val="0"/>
      <w:spacing w:before="240" w:after="60"/>
    </w:pPr>
    <w:rPr>
      <w:b/>
      <w:caps/>
      <w:kern w:val="28"/>
      <w:sz w:val="28"/>
    </w:rPr>
  </w:style>
  <w:style w:type="paragraph" w:customStyle="1" w:styleId="NadpisB">
    <w:name w:val="Nadpis B"/>
    <w:basedOn w:val="Normln"/>
    <w:next w:val="Bntext"/>
    <w:pPr>
      <w:keepNext/>
      <w:widowControl w:val="0"/>
      <w:spacing w:before="240" w:after="60"/>
    </w:pPr>
    <w:rPr>
      <w:b/>
      <w:kern w:val="28"/>
      <w:sz w:val="28"/>
    </w:rPr>
  </w:style>
  <w:style w:type="paragraph" w:customStyle="1" w:styleId="NadpisC">
    <w:name w:val="Nadpis C"/>
    <w:basedOn w:val="Normln"/>
    <w:next w:val="Bntext"/>
    <w:pPr>
      <w:keepNext/>
      <w:widowControl w:val="0"/>
      <w:spacing w:before="240" w:after="60"/>
    </w:pPr>
    <w:rPr>
      <w:b/>
      <w:kern w:val="24"/>
      <w:sz w:val="24"/>
    </w:rPr>
  </w:style>
  <w:style w:type="paragraph" w:customStyle="1" w:styleId="NadpisD">
    <w:name w:val="Nadpis D"/>
    <w:basedOn w:val="Normln"/>
    <w:next w:val="Bntext"/>
    <w:pPr>
      <w:keepNext/>
      <w:widowControl w:val="0"/>
      <w:spacing w:before="240" w:after="60"/>
    </w:pPr>
    <w:rPr>
      <w:b/>
      <w:kern w:val="22"/>
      <w:sz w:val="22"/>
    </w:rPr>
  </w:style>
  <w:style w:type="paragraph" w:customStyle="1" w:styleId="Nzevobrzku">
    <w:name w:val="Název obrázku"/>
    <w:basedOn w:val="Normln"/>
    <w:rPr>
      <w:i/>
    </w:rPr>
  </w:style>
  <w:style w:type="paragraph" w:customStyle="1" w:styleId="Nzevtabulky">
    <w:name w:val="Název tabulky"/>
    <w:basedOn w:val="Normln"/>
    <w:rPr>
      <w:i/>
    </w:rPr>
  </w:style>
  <w:style w:type="paragraph" w:styleId="Obsah1">
    <w:name w:val="toc 1"/>
    <w:basedOn w:val="Normln"/>
    <w:next w:val="Bntext"/>
    <w:autoRedefine/>
    <w:semiHidden/>
    <w:pPr>
      <w:widowControl w:val="0"/>
      <w:spacing w:after="60"/>
    </w:pPr>
    <w:rPr>
      <w:caps/>
    </w:rPr>
  </w:style>
  <w:style w:type="paragraph" w:styleId="Obsah2">
    <w:name w:val="toc 2"/>
    <w:basedOn w:val="Normln"/>
    <w:next w:val="Bntext"/>
    <w:autoRedefine/>
    <w:semiHidden/>
    <w:pPr>
      <w:widowControl w:val="0"/>
      <w:spacing w:after="60"/>
      <w:ind w:left="198"/>
    </w:pPr>
  </w:style>
  <w:style w:type="paragraph" w:styleId="Obsah3">
    <w:name w:val="toc 3"/>
    <w:basedOn w:val="Normln"/>
    <w:next w:val="Bntext"/>
    <w:autoRedefine/>
    <w:semiHidden/>
    <w:pPr>
      <w:widowControl w:val="0"/>
      <w:spacing w:after="60"/>
      <w:ind w:left="403"/>
    </w:pPr>
  </w:style>
  <w:style w:type="paragraph" w:styleId="Obsah4">
    <w:name w:val="toc 4"/>
    <w:basedOn w:val="Normln"/>
    <w:next w:val="Bntext"/>
    <w:autoRedefine/>
    <w:semiHidden/>
    <w:pPr>
      <w:widowControl w:val="0"/>
      <w:spacing w:after="60"/>
      <w:ind w:left="601"/>
    </w:pPr>
  </w:style>
  <w:style w:type="paragraph" w:styleId="Seznamsodrkami">
    <w:name w:val="List Bullet"/>
    <w:basedOn w:val="Normln"/>
    <w:autoRedefine/>
    <w:pPr>
      <w:widowControl w:val="0"/>
      <w:numPr>
        <w:numId w:val="9"/>
      </w:numPr>
      <w:tabs>
        <w:tab w:val="clear" w:pos="360"/>
        <w:tab w:val="left" w:pos="357"/>
      </w:tabs>
      <w:ind w:left="357" w:hanging="357"/>
    </w:pPr>
  </w:style>
  <w:style w:type="paragraph" w:styleId="Seznamsodrkami2">
    <w:name w:val="List Bullet 2"/>
    <w:basedOn w:val="Normln"/>
    <w:autoRedefine/>
    <w:pPr>
      <w:widowControl w:val="0"/>
      <w:numPr>
        <w:numId w:val="11"/>
      </w:numPr>
      <w:tabs>
        <w:tab w:val="clear" w:pos="643"/>
        <w:tab w:val="left" w:pos="851"/>
      </w:tabs>
      <w:ind w:left="851" w:hanging="851"/>
    </w:pPr>
  </w:style>
  <w:style w:type="paragraph" w:styleId="Seznamsodrkami3">
    <w:name w:val="List Bullet 3"/>
    <w:basedOn w:val="Normln"/>
    <w:autoRedefine/>
    <w:pPr>
      <w:widowControl w:val="0"/>
      <w:numPr>
        <w:numId w:val="13"/>
      </w:numPr>
      <w:tabs>
        <w:tab w:val="clear" w:pos="926"/>
        <w:tab w:val="left" w:pos="851"/>
      </w:tabs>
      <w:ind w:left="851" w:hanging="284"/>
    </w:pPr>
  </w:style>
  <w:style w:type="paragraph" w:styleId="Textpoznpodarou">
    <w:name w:val="footnote text"/>
    <w:basedOn w:val="Normln"/>
    <w:semiHidden/>
    <w:pPr>
      <w:ind w:left="284" w:hanging="284"/>
    </w:pPr>
    <w:rPr>
      <w:i/>
      <w:szCs w:val="20"/>
    </w:rPr>
  </w:style>
  <w:style w:type="paragraph" w:customStyle="1" w:styleId="Texttabulky">
    <w:name w:val="Text tabulky"/>
    <w:basedOn w:val="Normln"/>
    <w:pPr>
      <w:widowControl w:val="0"/>
      <w:spacing w:before="60" w:after="60"/>
    </w:pPr>
  </w:style>
  <w:style w:type="table" w:styleId="Mkatabulky">
    <w:name w:val="Table Grid"/>
    <w:basedOn w:val="Normlntabulka"/>
    <w:rsid w:val="002F65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2F650F"/>
    <w:pPr>
      <w:ind w:left="720"/>
      <w:contextualSpacing/>
    </w:pPr>
  </w:style>
  <w:style w:type="paragraph" w:styleId="Textbubliny">
    <w:name w:val="Balloon Text"/>
    <w:basedOn w:val="Normln"/>
    <w:link w:val="TextbublinyChar"/>
    <w:rsid w:val="00A6177C"/>
    <w:rPr>
      <w:rFonts w:ascii="Segoe UI" w:hAnsi="Segoe UI" w:cs="Segoe UI"/>
      <w:sz w:val="18"/>
      <w:szCs w:val="18"/>
    </w:rPr>
  </w:style>
  <w:style w:type="character" w:customStyle="1" w:styleId="TextbublinyChar">
    <w:name w:val="Text bubliny Char"/>
    <w:basedOn w:val="Standardnpsmoodstavce"/>
    <w:link w:val="Textbubliny"/>
    <w:rsid w:val="00A6177C"/>
    <w:rPr>
      <w:rFonts w:ascii="Segoe UI" w:hAnsi="Segoe UI" w:cs="Segoe UI"/>
      <w:sz w:val="18"/>
      <w:szCs w:val="18"/>
    </w:rPr>
  </w:style>
  <w:style w:type="character" w:customStyle="1" w:styleId="BntextChar">
    <w:name w:val="Běžný text Char"/>
    <w:link w:val="Bntext"/>
    <w:rsid w:val="0089215B"/>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97025232">
      <w:bodyDiv w:val="1"/>
      <w:marLeft w:val="0"/>
      <w:marRight w:val="0"/>
      <w:marTop w:val="0"/>
      <w:marBottom w:val="0"/>
      <w:divBdr>
        <w:top w:val="none" w:sz="0" w:space="0" w:color="auto"/>
        <w:left w:val="none" w:sz="0" w:space="0" w:color="auto"/>
        <w:bottom w:val="none" w:sz="0" w:space="0" w:color="auto"/>
        <w:right w:val="none" w:sz="0" w:space="0" w:color="auto"/>
      </w:divBdr>
    </w:div>
    <w:div w:id="1992177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555</TotalTime>
  <Pages>3</Pages>
  <Words>602</Words>
  <Characters>3556</Characters>
  <Application>Microsoft Office Word</Application>
  <DocSecurity>0</DocSecurity>
  <Lines>29</Lines>
  <Paragraphs>8</Paragraphs>
  <ScaleCrop>false</ScaleCrop>
  <HeadingPairs>
    <vt:vector size="2" baseType="variant">
      <vt:variant>
        <vt:lpstr>Název</vt:lpstr>
      </vt:variant>
      <vt:variant>
        <vt:i4>1</vt:i4>
      </vt:variant>
    </vt:vector>
  </HeadingPairs>
  <TitlesOfParts>
    <vt:vector size="1" baseType="lpstr">
      <vt:lpstr/>
    </vt:vector>
  </TitlesOfParts>
  <Company>Pöyry Environment a.s.</Company>
  <LinksUpToDate>false</LinksUpToDate>
  <CharactersWithSpaces>4150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Svancara, Jiri_x000d_</dc:creator>
  <cp:lastModifiedBy>. .</cp:lastModifiedBy>
  <cp:revision>52</cp:revision>
  <cp:lastPrinted>1900-12-31T23:00:00Z</cp:lastPrinted>
  <dcterms:created xsi:type="dcterms:W3CDTF">2020-02-20T08:46:00Z</dcterms:created>
  <dcterms:modified xsi:type="dcterms:W3CDTF">2020-08-17T15:42:00Z</dcterms:modified>
</cp:coreProperties>
</file>