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384"/>
        <w:gridCol w:w="7826"/>
      </w:tblGrid>
      <w:tr w:rsidR="00ED3333" w:rsidRPr="00ED3333" w14:paraId="40B7843E" w14:textId="77777777" w:rsidTr="00DA6A67">
        <w:tc>
          <w:tcPr>
            <w:tcW w:w="1384" w:type="dxa"/>
            <w:shd w:val="clear" w:color="auto" w:fill="D9D9D9" w:themeFill="background1" w:themeFillShade="D9"/>
            <w:vAlign w:val="bottom"/>
          </w:tcPr>
          <w:p w14:paraId="1907A544" w14:textId="77777777" w:rsidR="00ED3333" w:rsidRPr="00ED3333" w:rsidRDefault="00ED3333" w:rsidP="00ED3333">
            <w:pPr>
              <w:rPr>
                <w:b/>
                <w:bCs/>
                <w:sz w:val="28"/>
                <w:szCs w:val="28"/>
              </w:rPr>
            </w:pPr>
            <w:r w:rsidRPr="00ED3333">
              <w:rPr>
                <w:b/>
                <w:bCs/>
                <w:sz w:val="28"/>
                <w:szCs w:val="28"/>
              </w:rPr>
              <w:t>A.0</w:t>
            </w:r>
            <w:r w:rsidR="00A25733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7826" w:type="dxa"/>
            <w:shd w:val="clear" w:color="auto" w:fill="D9D9D9" w:themeFill="background1" w:themeFillShade="D9"/>
            <w:vAlign w:val="bottom"/>
          </w:tcPr>
          <w:p w14:paraId="555BE044" w14:textId="77777777" w:rsidR="00ED3333" w:rsidRPr="00ED3333" w:rsidRDefault="00A25733" w:rsidP="00ED3333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Přírodě blízké břehové opevnění (PBBO)</w:t>
            </w:r>
          </w:p>
        </w:tc>
      </w:tr>
      <w:tr w:rsidR="002F650F" w14:paraId="24CF5DDE" w14:textId="77777777" w:rsidTr="002F650F">
        <w:tc>
          <w:tcPr>
            <w:tcW w:w="1384" w:type="dxa"/>
          </w:tcPr>
          <w:p w14:paraId="5B591BCF" w14:textId="77777777" w:rsidR="002F650F" w:rsidRDefault="00ED3333" w:rsidP="002F650F">
            <w:r>
              <w:t>Úsek</w:t>
            </w:r>
          </w:p>
        </w:tc>
        <w:tc>
          <w:tcPr>
            <w:tcW w:w="7826" w:type="dxa"/>
          </w:tcPr>
          <w:p w14:paraId="048CB383" w14:textId="77777777" w:rsidR="002F650F" w:rsidRDefault="00ED3333" w:rsidP="002F650F">
            <w:r w:rsidRPr="00113E1A">
              <w:t xml:space="preserve">A (soutok s Opavicí </w:t>
            </w:r>
            <w:r>
              <w:t>–</w:t>
            </w:r>
            <w:r w:rsidRPr="00113E1A">
              <w:t xml:space="preserve"> žel</w:t>
            </w:r>
            <w:r>
              <w:t xml:space="preserve">ezniční </w:t>
            </w:r>
            <w:r w:rsidRPr="00113E1A">
              <w:t>most)</w:t>
            </w:r>
          </w:p>
        </w:tc>
      </w:tr>
    </w:tbl>
    <w:p w14:paraId="4250C6BE" w14:textId="77777777" w:rsidR="00BE0FEB" w:rsidRDefault="00BE0FEB">
      <w:pPr>
        <w:pStyle w:val="Bntext"/>
      </w:pPr>
    </w:p>
    <w:p w14:paraId="2FE55099" w14:textId="77777777" w:rsidR="002F650F" w:rsidRDefault="008E208F" w:rsidP="00DA6A67">
      <w:pPr>
        <w:pStyle w:val="NadpisC"/>
      </w:pPr>
      <w:r>
        <w:t>1</w:t>
      </w:r>
      <w:r>
        <w:tab/>
      </w:r>
      <w:r w:rsidR="002F650F">
        <w:t>Popis námětu dle Studie</w:t>
      </w:r>
    </w:p>
    <w:p w14:paraId="0B51D4CD" w14:textId="77777777" w:rsidR="002F650F" w:rsidRPr="00C73AD6" w:rsidRDefault="00C73AD6" w:rsidP="00C73AD6">
      <w:pPr>
        <w:pStyle w:val="Bntext"/>
        <w:rPr>
          <w:i/>
          <w:iCs/>
        </w:rPr>
      </w:pPr>
      <w:r w:rsidRPr="00C73AD6">
        <w:rPr>
          <w:i/>
          <w:iCs/>
        </w:rPr>
        <w:t>Je uplatněno břehové opevnění záhozem z lomového kamene do 500 kg pohřbeného pod proměnlivě</w:t>
      </w:r>
      <w:r>
        <w:rPr>
          <w:i/>
          <w:iCs/>
        </w:rPr>
        <w:t xml:space="preserve"> </w:t>
      </w:r>
      <w:r w:rsidRPr="00C73AD6">
        <w:rPr>
          <w:i/>
          <w:iCs/>
        </w:rPr>
        <w:t xml:space="preserve">mocnou vrstvou štěrkopísku. V březích je navrženo pomístní vložení torz stromů kotvených k sobě navzájem i do dna a částečně přesypaných štěrkopískem. Zejména ve vazbě na kotvenou dřevní hmotu je navrženo břehové opevnění záhozem z lomového kamene. Připouští se přiměřená míra erozně sedimentačních procesů, které vytvoří přírodě blízké </w:t>
      </w:r>
      <w:proofErr w:type="spellStart"/>
      <w:r w:rsidRPr="00C73AD6">
        <w:rPr>
          <w:i/>
          <w:iCs/>
        </w:rPr>
        <w:t>hydromorfologické</w:t>
      </w:r>
      <w:proofErr w:type="spellEnd"/>
      <w:r w:rsidRPr="00C73AD6">
        <w:rPr>
          <w:i/>
          <w:iCs/>
        </w:rPr>
        <w:t xml:space="preserve"> struktury v korytě. Povrchy svahů a </w:t>
      </w:r>
      <w:proofErr w:type="spellStart"/>
      <w:r w:rsidRPr="00C73AD6">
        <w:rPr>
          <w:i/>
          <w:iCs/>
        </w:rPr>
        <w:t>berem</w:t>
      </w:r>
      <w:proofErr w:type="spellEnd"/>
      <w:r w:rsidRPr="00C73AD6">
        <w:rPr>
          <w:i/>
          <w:iCs/>
        </w:rPr>
        <w:t xml:space="preserve"> budou osety bylinnou směsí, předpokládá se jejich brzké zpevnění drnem. Navržené řešení opevnění splní jak požadavky na kapacitu a stabilitu koryta, tak významně přispěje k plnění přírodních funkcí toku (úkryty pro živočichy, zvětšení aktivního povrchu koryta atd.).</w:t>
      </w:r>
    </w:p>
    <w:p w14:paraId="5D5D806E" w14:textId="77777777" w:rsidR="002F650F" w:rsidRDefault="008E208F" w:rsidP="00DA6A67">
      <w:pPr>
        <w:pStyle w:val="NadpisC"/>
      </w:pPr>
      <w:r>
        <w:t>2</w:t>
      </w:r>
      <w:r>
        <w:tab/>
      </w:r>
      <w:r w:rsidR="002F650F">
        <w:t>Umístění</w:t>
      </w:r>
    </w:p>
    <w:p w14:paraId="6714F27F" w14:textId="77777777" w:rsidR="00D14C4A" w:rsidRPr="00D14C4A" w:rsidRDefault="00D14C4A" w:rsidP="00D14C4A">
      <w:pPr>
        <w:pStyle w:val="Bntext"/>
      </w:pPr>
      <w:r w:rsidRPr="00ED1915">
        <w:rPr>
          <w:noProof/>
        </w:rPr>
        <w:drawing>
          <wp:inline distT="0" distB="0" distL="0" distR="0" wp14:anchorId="5E3F730C" wp14:editId="432D6ACD">
            <wp:extent cx="4178300" cy="3056562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99374" cy="3071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7D99D" w14:textId="77777777" w:rsidR="00924461" w:rsidRDefault="00924461" w:rsidP="00924461">
      <w:pPr>
        <w:pStyle w:val="Bntext"/>
      </w:pPr>
      <w:bookmarkStart w:id="0" w:name="_Hlk34635880"/>
      <w:r w:rsidRPr="009A5019">
        <w:t xml:space="preserve">Námět v souladu s ÚP – koridory </w:t>
      </w:r>
      <w:r>
        <w:t>vodní a vodohospodářské – KW-O26</w:t>
      </w:r>
    </w:p>
    <w:p w14:paraId="27542FF5" w14:textId="77777777" w:rsidR="00924461" w:rsidRDefault="00924461" w:rsidP="00924461">
      <w:pPr>
        <w:pStyle w:val="Bntext"/>
      </w:pPr>
      <w:r>
        <w:t>Zábory, majetkoprávní vypořádání – pozemek PO</w:t>
      </w:r>
    </w:p>
    <w:p w14:paraId="63C08E43" w14:textId="77777777" w:rsidR="00924461" w:rsidRDefault="00924461" w:rsidP="00924461">
      <w:pPr>
        <w:pStyle w:val="Bntext"/>
      </w:pPr>
      <w:r>
        <w:t>Kolize s infrastrukturou – NE</w:t>
      </w:r>
    </w:p>
    <w:bookmarkEnd w:id="0"/>
    <w:p w14:paraId="6D1E8C62" w14:textId="77777777" w:rsidR="002F650F" w:rsidRDefault="008E208F" w:rsidP="00235460">
      <w:pPr>
        <w:pStyle w:val="NadpisC"/>
      </w:pPr>
      <w:r>
        <w:t>3</w:t>
      </w:r>
      <w:r>
        <w:tab/>
      </w:r>
      <w:r w:rsidR="00235460">
        <w:t>Komentář</w:t>
      </w:r>
    </w:p>
    <w:p w14:paraId="47FC88F5" w14:textId="77777777" w:rsidR="0076507D" w:rsidRDefault="0076507D" w:rsidP="00136C11">
      <w:r>
        <w:t xml:space="preserve">Představa řešení je uvedena na </w:t>
      </w:r>
      <w:proofErr w:type="spellStart"/>
      <w:r>
        <w:t>příl</w:t>
      </w:r>
      <w:proofErr w:type="spellEnd"/>
      <w:r>
        <w:t xml:space="preserve">. studie </w:t>
      </w:r>
      <w:r w:rsidRPr="00602FC2">
        <w:t>B05a_PRICNY REZ A.pdf</w:t>
      </w:r>
      <w:r>
        <w:t xml:space="preserve">, </w:t>
      </w:r>
      <w:r w:rsidRPr="003A3908">
        <w:t>B04a_SITUACE USEK-A.pdf</w:t>
      </w:r>
      <w:r>
        <w:t>.</w:t>
      </w:r>
    </w:p>
    <w:p w14:paraId="3E1EF47F" w14:textId="77777777" w:rsidR="00136C11" w:rsidRDefault="00136C11" w:rsidP="00136C11">
      <w:r>
        <w:t xml:space="preserve">Obsahuje ideový námět řešení, není zohledněno projektové řešení staveb 02.101 </w:t>
      </w:r>
      <w:r w:rsidRPr="00136C11">
        <w:t>(DUR)</w:t>
      </w:r>
      <w:r>
        <w:t>.</w:t>
      </w:r>
    </w:p>
    <w:p w14:paraId="44968FA4" w14:textId="77777777" w:rsidR="0076507D" w:rsidRDefault="0076507D" w:rsidP="00136C11"/>
    <w:p w14:paraId="5F1168CF" w14:textId="77777777" w:rsidR="0076507D" w:rsidRDefault="0076507D" w:rsidP="0076507D">
      <w:pPr>
        <w:pStyle w:val="Bn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0671357" wp14:editId="4D5DB46A">
                <wp:simplePos x="0" y="0"/>
                <wp:positionH relativeFrom="column">
                  <wp:posOffset>1277620</wp:posOffset>
                </wp:positionH>
                <wp:positionV relativeFrom="paragraph">
                  <wp:posOffset>786765</wp:posOffset>
                </wp:positionV>
                <wp:extent cx="3917950" cy="825500"/>
                <wp:effectExtent l="0" t="0" r="25400" b="12700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7950" cy="8255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003293" id="Ovál 2" o:spid="_x0000_s1026" style="position:absolute;margin-left:100.6pt;margin-top:61.95pt;width:308.5pt;height:6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" filled="f" strokecolor="#c00000" strokeweight="2pt"/>
            </w:pict>
          </mc:Fallback>
        </mc:AlternateContent>
      </w:r>
      <w:r w:rsidRPr="00602FC2">
        <w:rPr>
          <w:noProof/>
        </w:rPr>
        <w:drawing>
          <wp:inline distT="0" distB="0" distL="0" distR="0" wp14:anchorId="1EDF2F1C" wp14:editId="731F0E86">
            <wp:extent cx="5759450" cy="143700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8120"/>
                    <a:stretch/>
                  </pic:blipFill>
                  <pic:spPr bwMode="auto">
                    <a:xfrm>
                      <a:off x="0" y="0"/>
                      <a:ext cx="5759450" cy="1437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EEAC0F" w14:textId="77777777" w:rsidR="002F650F" w:rsidRDefault="008E208F" w:rsidP="00DA6A67">
      <w:pPr>
        <w:pStyle w:val="NadpisC"/>
      </w:pPr>
      <w:r>
        <w:lastRenderedPageBreak/>
        <w:t>4</w:t>
      </w:r>
      <w:r>
        <w:tab/>
      </w:r>
      <w:r w:rsidR="002F650F">
        <w:t>Hodnocení slučitelnosti námětů s koncepcí PPO</w:t>
      </w:r>
      <w:r w:rsidR="002F08DA" w:rsidRPr="002F08DA">
        <w:t xml:space="preserve"> </w:t>
      </w:r>
      <w:r w:rsidR="002F08DA">
        <w:t>a funkčnosti</w:t>
      </w:r>
    </w:p>
    <w:p w14:paraId="144B93A5" w14:textId="77777777" w:rsidR="009F1E69" w:rsidRDefault="009F1E69" w:rsidP="009F1E69">
      <w:pPr>
        <w:pStyle w:val="Bntext"/>
      </w:pPr>
      <w:bookmarkStart w:id="1" w:name="_Hlk34999063"/>
      <w:r>
        <w:t>Zvýšení členitosti koryta je technicky možné, ovšem podle pův</w:t>
      </w:r>
      <w:r w:rsidR="00FC76D1">
        <w:t>odní</w:t>
      </w:r>
      <w:r>
        <w:t xml:space="preserve"> koncepce DUR </w:t>
      </w:r>
      <w:r w:rsidR="00D375C4">
        <w:t xml:space="preserve">stavby 10.101 </w:t>
      </w:r>
      <w:r>
        <w:t>nemá být do</w:t>
      </w:r>
      <w:r w:rsidR="00FC76D1">
        <w:t> </w:t>
      </w:r>
      <w:proofErr w:type="spellStart"/>
      <w:r>
        <w:t>berem</w:t>
      </w:r>
      <w:proofErr w:type="spellEnd"/>
      <w:r>
        <w:t xml:space="preserve"> zasahováno. </w:t>
      </w:r>
    </w:p>
    <w:p w14:paraId="326BCC67" w14:textId="77777777" w:rsidR="009F1E69" w:rsidRDefault="009F1E69" w:rsidP="00237355">
      <w:r w:rsidRPr="009F1E69">
        <w:rPr>
          <w:noProof/>
        </w:rPr>
        <w:drawing>
          <wp:inline distT="0" distB="0" distL="0" distR="0" wp14:anchorId="097D2438" wp14:editId="20E31D6F">
            <wp:extent cx="4851400" cy="1770467"/>
            <wp:effectExtent l="0" t="0" r="6350" b="127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63381" cy="1774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D4C61" w14:textId="77777777" w:rsidR="00530A57" w:rsidRDefault="00530A57" w:rsidP="00237355"/>
    <w:p w14:paraId="03B81197" w14:textId="77777777" w:rsidR="00237355" w:rsidRDefault="00D375C4" w:rsidP="00D375C4">
      <w:pPr>
        <w:pStyle w:val="Bntext"/>
      </w:pPr>
      <w:bookmarkStart w:id="2" w:name="_Hlk35018371"/>
      <w:r>
        <w:t xml:space="preserve">Vzhledem k obsahu námětů A.04 a A.05 není možné uvádět jejich hodnocení samostatně. </w:t>
      </w:r>
      <w:r w:rsidR="00237355">
        <w:t>Riziko omezení kapacity</w:t>
      </w:r>
      <w:bookmarkEnd w:id="2"/>
      <w:r w:rsidR="00237355">
        <w:t xml:space="preserve">. </w:t>
      </w:r>
      <w:bookmarkStart w:id="3" w:name="_Hlk34586681"/>
      <w:r w:rsidR="00237355">
        <w:t xml:space="preserve">Nelze uvažovat o </w:t>
      </w:r>
      <w:r w:rsidR="009F1E69">
        <w:t>úpravách, které by mohly snižovat</w:t>
      </w:r>
      <w:r w:rsidR="00237355">
        <w:t xml:space="preserve"> průtočn</w:t>
      </w:r>
      <w:r w:rsidR="009F1E69">
        <w:t>ou</w:t>
      </w:r>
      <w:r w:rsidR="00237355">
        <w:t xml:space="preserve"> kapacit</w:t>
      </w:r>
      <w:r w:rsidR="009F1E69">
        <w:t>u</w:t>
      </w:r>
      <w:r w:rsidR="00237355">
        <w:t xml:space="preserve"> železničního mostu</w:t>
      </w:r>
      <w:r w:rsidR="00EE1E05">
        <w:t xml:space="preserve"> </w:t>
      </w:r>
      <w:bookmarkStart w:id="4" w:name="_Hlk35014943"/>
      <w:bookmarkStart w:id="5" w:name="_Hlk35013014"/>
      <w:r w:rsidR="00EE1E05">
        <w:t>(km 0,000 dle DUR</w:t>
      </w:r>
      <w:bookmarkEnd w:id="4"/>
      <w:r w:rsidR="00EE1E05">
        <w:t>)</w:t>
      </w:r>
      <w:r w:rsidR="00136C11">
        <w:t>, která je z</w:t>
      </w:r>
      <w:bookmarkEnd w:id="5"/>
      <w:r w:rsidR="00237355">
        <w:t>cela zásadní pro celkovou koncepci PPO Krnov.</w:t>
      </w:r>
    </w:p>
    <w:p w14:paraId="47877425" w14:textId="77777777" w:rsidR="00D375C4" w:rsidRDefault="002A58E1" w:rsidP="00D375C4">
      <w:pPr>
        <w:pStyle w:val="Bntext"/>
      </w:pPr>
      <w:r>
        <w:t xml:space="preserve">Navržené opatření </w:t>
      </w:r>
      <w:r w:rsidR="00D375C4">
        <w:t xml:space="preserve">jako celek </w:t>
      </w:r>
      <w:r>
        <w:t xml:space="preserve">není trvale udržitelné, životnost opatření bude </w:t>
      </w:r>
      <w:r w:rsidR="00C00656">
        <w:t xml:space="preserve">pouze </w:t>
      </w:r>
      <w:r>
        <w:t xml:space="preserve">do doby zvýšených průtokových stavů. </w:t>
      </w:r>
      <w:r w:rsidR="00D375C4">
        <w:t xml:space="preserve">Z estetického hlediska v podmínkách úzké městské trati problematické. </w:t>
      </w:r>
    </w:p>
    <w:p w14:paraId="327F8250" w14:textId="77777777" w:rsidR="00136C11" w:rsidRDefault="00136C11" w:rsidP="00D375C4">
      <w:pPr>
        <w:pStyle w:val="Bntext"/>
      </w:pPr>
      <w:r>
        <w:t>Velmi rozsáhlé zvýšení rozsahu prací (zejm. zemní práce, zrušení současného opevnění kynety a vybudování pohřbeného opevnění v odsazené podobě).</w:t>
      </w:r>
    </w:p>
    <w:bookmarkEnd w:id="1"/>
    <w:bookmarkEnd w:id="3"/>
    <w:p w14:paraId="60B70CDB" w14:textId="77777777" w:rsidR="002F650F" w:rsidRDefault="008E208F" w:rsidP="00DA6A67">
      <w:pPr>
        <w:pStyle w:val="NadpisC"/>
      </w:pPr>
      <w:r>
        <w:t>5</w:t>
      </w:r>
      <w:r>
        <w:tab/>
      </w:r>
      <w:r w:rsidR="005B07AF">
        <w:t>V</w:t>
      </w:r>
      <w:r w:rsidR="002F650F" w:rsidRPr="00ED3333">
        <w:t>liv na dosažení požadovaných kapacit PPO</w:t>
      </w:r>
    </w:p>
    <w:p w14:paraId="69750692" w14:textId="77777777" w:rsidR="00ED3333" w:rsidRPr="007A23EE" w:rsidRDefault="00237355" w:rsidP="00ED3333">
      <w:pPr>
        <w:pStyle w:val="Bntext"/>
      </w:pPr>
      <w:bookmarkStart w:id="6" w:name="_Hlk34999081"/>
      <w:r w:rsidRPr="007A23EE">
        <w:t>Lze navrhnout jako neutrální, ovšem lze očekávat problémy s udržitelností.</w:t>
      </w:r>
      <w:r w:rsidR="00BA30F1" w:rsidRPr="007A23EE">
        <w:t xml:space="preserve"> Z důvodu možného </w:t>
      </w:r>
      <w:proofErr w:type="gramStart"/>
      <w:r w:rsidR="00BA30F1" w:rsidRPr="007A23EE">
        <w:t>postupného  a</w:t>
      </w:r>
      <w:proofErr w:type="gramEnd"/>
      <w:r w:rsidR="00BA30F1" w:rsidRPr="007A23EE">
        <w:t xml:space="preserve"> při povodni skokového snižování kapacity koryta hodnotíme vliv jako negativní.</w:t>
      </w:r>
    </w:p>
    <w:bookmarkEnd w:id="6"/>
    <w:p w14:paraId="498A0726" w14:textId="77777777" w:rsidR="002F650F" w:rsidRPr="007A23EE" w:rsidRDefault="008E208F" w:rsidP="00DA6A67">
      <w:pPr>
        <w:pStyle w:val="NadpisC"/>
      </w:pPr>
      <w:r w:rsidRPr="007A23EE">
        <w:t>6</w:t>
      </w:r>
      <w:r w:rsidRPr="007A23EE">
        <w:tab/>
      </w:r>
      <w:r w:rsidR="00ED3333" w:rsidRPr="007A23EE">
        <w:t>M</w:t>
      </w:r>
      <w:r w:rsidR="002F650F" w:rsidRPr="007A23EE">
        <w:t xml:space="preserve">ožnost adaptace </w:t>
      </w:r>
      <w:r w:rsidR="00DA6A67" w:rsidRPr="007A23EE">
        <w:t xml:space="preserve">z hlediska </w:t>
      </w:r>
      <w:r w:rsidR="002F650F" w:rsidRPr="007A23EE">
        <w:t>slučitel</w:t>
      </w:r>
      <w:r w:rsidR="00DA6A67" w:rsidRPr="007A23EE">
        <w:t>nosti</w:t>
      </w:r>
      <w:r w:rsidR="002F650F" w:rsidRPr="007A23EE">
        <w:t xml:space="preserve"> s koncepcí PPO</w:t>
      </w:r>
      <w:r w:rsidR="00DA6A67" w:rsidRPr="007A23EE">
        <w:t xml:space="preserve"> </w:t>
      </w:r>
    </w:p>
    <w:p w14:paraId="4F411D29" w14:textId="77777777" w:rsidR="00ED3333" w:rsidRPr="007A23EE" w:rsidRDefault="00BA30F1" w:rsidP="00D375C4">
      <w:pPr>
        <w:pStyle w:val="Bntext"/>
      </w:pPr>
      <w:bookmarkStart w:id="7" w:name="_Hlk34999140"/>
      <w:r w:rsidRPr="007A23EE">
        <w:t>Požadavky na dlouhodobé udržení kapacity a přirozenější vývoj koryta jsou do značné míry protichůdné.</w:t>
      </w:r>
    </w:p>
    <w:bookmarkEnd w:id="7"/>
    <w:p w14:paraId="10089E5D" w14:textId="77777777" w:rsidR="002F650F" w:rsidRPr="007A23EE" w:rsidRDefault="007A41FB" w:rsidP="00DA6A67">
      <w:pPr>
        <w:pStyle w:val="NadpisC"/>
      </w:pPr>
      <w:r w:rsidRPr="007A23EE">
        <w:t>7</w:t>
      </w:r>
      <w:r w:rsidRPr="007A23EE">
        <w:tab/>
      </w:r>
      <w:r w:rsidR="00ED3333" w:rsidRPr="007A23EE">
        <w:t>Z</w:t>
      </w:r>
      <w:r w:rsidR="002F650F" w:rsidRPr="007A23EE">
        <w:t>hodnocení provozních hledisek z pohledu investor</w:t>
      </w:r>
      <w:r w:rsidR="00834B0D" w:rsidRPr="007A23EE">
        <w:t>a PPO</w:t>
      </w:r>
    </w:p>
    <w:p w14:paraId="35B021EA" w14:textId="77777777" w:rsidR="00BA30F1" w:rsidRPr="007A23EE" w:rsidRDefault="00BA30F1" w:rsidP="00ED3333">
      <w:pPr>
        <w:pStyle w:val="Bntext"/>
      </w:pPr>
      <w:bookmarkStart w:id="8" w:name="_Hlk34999708"/>
      <w:r w:rsidRPr="007A23EE">
        <w:t>Navrhované opatření prakticky znamená ponechat v řece Opavě přirozený vývoj bez údržby. To není možné z důvodu bezpečnosti (boční</w:t>
      </w:r>
      <w:r w:rsidR="00C240AB" w:rsidRPr="007A23EE">
        <w:t xml:space="preserve"> a dnová</w:t>
      </w:r>
      <w:r w:rsidRPr="007A23EE">
        <w:t xml:space="preserve"> eroze</w:t>
      </w:r>
      <w:r w:rsidR="00C240AB" w:rsidRPr="007A23EE">
        <w:t xml:space="preserve">) a garantování převedení návrhového průtoku při návrhové hladině městskou tratí. Podle správce toku a investora opatření na Horní Opavě navrhovaný typ opevnění nepatří do městské trati. </w:t>
      </w:r>
    </w:p>
    <w:bookmarkEnd w:id="8"/>
    <w:p w14:paraId="4111D677" w14:textId="77777777" w:rsidR="002F650F" w:rsidRDefault="007A41FB" w:rsidP="00DA6A67">
      <w:pPr>
        <w:pStyle w:val="NadpisC"/>
      </w:pPr>
      <w:r>
        <w:t>8</w:t>
      </w:r>
      <w:r>
        <w:tab/>
      </w:r>
      <w:r w:rsidR="00834B0D">
        <w:t>S</w:t>
      </w:r>
      <w:r w:rsidR="002F650F">
        <w:t xml:space="preserve">tanovisko </w:t>
      </w:r>
      <w:r w:rsidR="00DA6A67">
        <w:t>investora PPO</w:t>
      </w:r>
    </w:p>
    <w:p w14:paraId="645D5F81" w14:textId="77777777" w:rsidR="00036659" w:rsidRDefault="00125B3F" w:rsidP="00125B3F">
      <w:pPr>
        <w:pStyle w:val="Bntext"/>
      </w:pPr>
      <w:r>
        <w:t xml:space="preserve">Povodí Odry, státní podnik nesouhlasí se začleněním a provedením námětu. </w:t>
      </w:r>
      <w:r w:rsidR="0016759A" w:rsidRPr="00136C11">
        <w:t>Nelze akceptovat z důvodů kapacity, životnosti, údržby, estetiky v městské trati.</w:t>
      </w:r>
      <w:r>
        <w:t xml:space="preserve"> </w:t>
      </w:r>
    </w:p>
    <w:p w14:paraId="6D25D49E" w14:textId="77777777" w:rsidR="00125B3F" w:rsidRPr="00125B3F" w:rsidRDefault="00125B3F" w:rsidP="00125B3F">
      <w:pPr>
        <w:pStyle w:val="Bntext"/>
      </w:pPr>
      <w:r w:rsidRPr="00125B3F">
        <w:t xml:space="preserve">Z hlediska investorství </w:t>
      </w:r>
      <w:r w:rsidRPr="00125B3F">
        <w:rPr>
          <w:b/>
          <w:bCs/>
        </w:rPr>
        <w:t>Typ 5</w:t>
      </w:r>
      <w:r w:rsidRPr="00125B3F">
        <w:t xml:space="preserve"> – odmítaný námět. </w:t>
      </w:r>
    </w:p>
    <w:p w14:paraId="5F5A9BCC" w14:textId="77777777" w:rsidR="002F650F" w:rsidRDefault="00834B0D" w:rsidP="00DA6A67">
      <w:pPr>
        <w:pStyle w:val="NadpisC"/>
      </w:pPr>
      <w:r>
        <w:t>9</w:t>
      </w:r>
      <w:r w:rsidR="007A41FB">
        <w:tab/>
      </w:r>
      <w:r w:rsidR="00DA6A67">
        <w:t>N</w:t>
      </w:r>
      <w:r w:rsidR="002F650F">
        <w:t xml:space="preserve">ávrh </w:t>
      </w:r>
      <w:r w:rsidR="00DA6A67">
        <w:t xml:space="preserve">zásad </w:t>
      </w:r>
      <w:r w:rsidR="002F650F">
        <w:t xml:space="preserve">koordinace přípravy a realizace </w:t>
      </w:r>
    </w:p>
    <w:p w14:paraId="3217B841" w14:textId="77777777" w:rsidR="008C729F" w:rsidRDefault="008C729F" w:rsidP="009F1E69">
      <w:bookmarkStart w:id="9" w:name="_Hlk35087871"/>
      <w:r w:rsidRPr="00125B3F">
        <w:t>Námět nebude zařazen do DUR.</w:t>
      </w:r>
    </w:p>
    <w:p w14:paraId="5304529B" w14:textId="29336430" w:rsidR="00E54B7B" w:rsidRDefault="00E54B7B" w:rsidP="00E54B7B">
      <w:r>
        <w:t xml:space="preserve">Úpravy kynety koryta nebyly součástí DUR PPO, mimo vyčištění dna od nánosů v některých úsecích. </w:t>
      </w:r>
    </w:p>
    <w:p w14:paraId="339745E0" w14:textId="4D60844E" w:rsidR="00C9795E" w:rsidRDefault="00C9795E" w:rsidP="00E54B7B"/>
    <w:tbl>
      <w:tblPr>
        <w:tblStyle w:val="Mkatabulky"/>
        <w:tblW w:w="0" w:type="auto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9062"/>
      </w:tblGrid>
      <w:tr w:rsidR="003F6C8C" w:rsidRPr="00ED5BBD" w14:paraId="7762F61D" w14:textId="77777777" w:rsidTr="00BC25DC">
        <w:tc>
          <w:tcPr>
            <w:tcW w:w="9062" w:type="dxa"/>
            <w:shd w:val="clear" w:color="auto" w:fill="F2F2F2" w:themeFill="background1" w:themeFillShade="F2"/>
            <w:hideMark/>
          </w:tcPr>
          <w:p w14:paraId="64504B3B" w14:textId="77777777" w:rsidR="003F6C8C" w:rsidRPr="00ED5BBD" w:rsidRDefault="003F6C8C" w:rsidP="00BC25DC">
            <w:pPr>
              <w:rPr>
                <w:rFonts w:cs="Arial"/>
                <w:b/>
                <w:bCs/>
                <w:color w:val="FF0000"/>
                <w:szCs w:val="20"/>
              </w:rPr>
            </w:pPr>
            <w:r w:rsidRPr="00ED5BBD">
              <w:rPr>
                <w:rFonts w:cs="Arial"/>
                <w:b/>
                <w:bCs/>
                <w:color w:val="FF0000"/>
                <w:sz w:val="24"/>
              </w:rPr>
              <w:t>ZÁVĚR</w:t>
            </w:r>
          </w:p>
        </w:tc>
      </w:tr>
      <w:tr w:rsidR="003F6C8C" w:rsidRPr="00ED5BBD" w14:paraId="278840A1" w14:textId="77777777" w:rsidTr="00BC25DC">
        <w:tc>
          <w:tcPr>
            <w:tcW w:w="9062" w:type="dxa"/>
            <w:hideMark/>
          </w:tcPr>
          <w:p w14:paraId="1BC16293" w14:textId="77777777" w:rsidR="003F6C8C" w:rsidRDefault="003F6C8C" w:rsidP="003F6C8C">
            <w:pPr>
              <w:pStyle w:val="Bntex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Souhlasíme se stanoviskem.</w:t>
            </w:r>
          </w:p>
          <w:p w14:paraId="5995254E" w14:textId="77777777" w:rsidR="003F6C8C" w:rsidRPr="00ED5BBD" w:rsidRDefault="003F6C8C" w:rsidP="00BC25DC">
            <w:pPr>
              <w:pStyle w:val="Bntext"/>
              <w:rPr>
                <w:rFonts w:cs="Arial"/>
                <w:color w:val="FF0000"/>
                <w:szCs w:val="20"/>
              </w:rPr>
            </w:pPr>
          </w:p>
          <w:p w14:paraId="49C50CC8" w14:textId="77777777" w:rsidR="003F6C8C" w:rsidRPr="00ED5BBD" w:rsidRDefault="003F6C8C" w:rsidP="00BC25DC">
            <w:pPr>
              <w:rPr>
                <w:rFonts w:cs="Arial"/>
                <w:color w:val="FF0000"/>
                <w:szCs w:val="20"/>
              </w:rPr>
            </w:pPr>
          </w:p>
        </w:tc>
      </w:tr>
      <w:tr w:rsidR="003F6C8C" w:rsidRPr="00ED5BBD" w14:paraId="5465EB21" w14:textId="77777777" w:rsidTr="00BC25DC">
        <w:tc>
          <w:tcPr>
            <w:tcW w:w="9062" w:type="dxa"/>
            <w:shd w:val="clear" w:color="auto" w:fill="auto"/>
          </w:tcPr>
          <w:p w14:paraId="31243083" w14:textId="77777777" w:rsidR="003F6C8C" w:rsidRPr="00ED5BBD" w:rsidRDefault="003F6C8C" w:rsidP="00BC25DC">
            <w:pPr>
              <w:rPr>
                <w:rFonts w:cs="Arial"/>
                <w:color w:val="FF0000"/>
                <w:szCs w:val="20"/>
              </w:rPr>
            </w:pPr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pozn.: závěr vychází z konzultací ke koordinaci záměru Studie „Krnov: Řeka ve městě“ a projektové dokumentace DUR stavby OHO 02.090, Opatření Krnov-město, konaných 6.8.2020 a 14.8.2020 </w:t>
            </w:r>
            <w:r w:rsidRPr="00ED5BBD">
              <w:rPr>
                <w:rFonts w:cs="Arial"/>
                <w:i/>
                <w:iCs/>
                <w:color w:val="FF0000"/>
                <w:szCs w:val="20"/>
              </w:rPr>
              <w:lastRenderedPageBreak/>
              <w:t xml:space="preserve">v kanceláři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za účasti zástupců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(Švancara, Mikulášek) a týmu Studie „Krnov: řeka ve městě“ (Machovský, Ondruška, Atelier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Fontes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>, s.r.o. – Havlíček, Řiháček)</w:t>
            </w:r>
          </w:p>
        </w:tc>
      </w:tr>
      <w:bookmarkEnd w:id="9"/>
    </w:tbl>
    <w:p w14:paraId="67E1D89A" w14:textId="77777777" w:rsidR="00E54B7B" w:rsidRPr="00125B3F" w:rsidRDefault="00E54B7B" w:rsidP="009F1E69"/>
    <w:sectPr w:rsidR="00E54B7B" w:rsidRPr="00125B3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8" w:right="1418" w:bottom="1418" w:left="1418" w:header="851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000D628" w14:textId="77777777" w:rsidR="006B5805" w:rsidRDefault="006B5805">
      <w:r>
        <w:separator/>
      </w:r>
    </w:p>
  </w:endnote>
  <w:endnote w:type="continuationSeparator" w:id="0">
    <w:p w14:paraId="2253D298" w14:textId="77777777" w:rsidR="006B5805" w:rsidRDefault="006B58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37A888" w14:textId="77777777" w:rsidR="0046691A" w:rsidRDefault="0046691A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05"/>
      <w:gridCol w:w="4605"/>
    </w:tblGrid>
    <w:tr w:rsidR="00BE0FEB" w14:paraId="5185B5CE" w14:textId="77777777">
      <w:trPr>
        <w:cantSplit/>
      </w:trPr>
      <w:tc>
        <w:tcPr>
          <w:tcW w:w="9210" w:type="dxa"/>
          <w:gridSpan w:val="2"/>
          <w:tcBorders>
            <w:bottom w:val="single" w:sz="4" w:space="0" w:color="auto"/>
          </w:tcBorders>
        </w:tcPr>
        <w:p w14:paraId="67556161" w14:textId="77777777" w:rsidR="00BE0FEB" w:rsidRDefault="00BE0FEB" w:rsidP="001E1F3D">
          <w:pPr>
            <w:pStyle w:val="Zpat"/>
          </w:pPr>
          <w:r>
            <w:t xml:space="preserve">Copyright </w:t>
          </w:r>
          <w:r>
            <w:rPr>
              <w:rFonts w:cs="Arial"/>
              <w:sz w:val="26"/>
              <w:szCs w:val="26"/>
            </w:rPr>
            <w:t xml:space="preserve">© </w:t>
          </w:r>
          <w:r w:rsidR="001E1F3D">
            <w:rPr>
              <w:rFonts w:ascii="Helv" w:hAnsi="Helv"/>
              <w:color w:val="000000"/>
              <w:szCs w:val="20"/>
            </w:rPr>
            <w:t>AQUATIS</w:t>
          </w:r>
          <w:r>
            <w:rPr>
              <w:rFonts w:ascii="Helv" w:hAnsi="Helv"/>
              <w:color w:val="000000"/>
              <w:szCs w:val="20"/>
            </w:rPr>
            <w:t xml:space="preserve"> a.s.</w:t>
          </w:r>
        </w:p>
      </w:tc>
    </w:tr>
    <w:tr w:rsidR="00BE0FEB" w14:paraId="6FC7D6CA" w14:textId="77777777">
      <w:tc>
        <w:tcPr>
          <w:tcW w:w="4605" w:type="dxa"/>
          <w:tcBorders>
            <w:top w:val="single" w:sz="4" w:space="0" w:color="auto"/>
          </w:tcBorders>
        </w:tcPr>
        <w:p w14:paraId="119C8B70" w14:textId="4FF23C20" w:rsidR="00BE0FEB" w:rsidRDefault="00516C15">
          <w:pPr>
            <w:pStyle w:val="Zpat"/>
          </w:pPr>
          <w:fldSimple w:instr=" FILENAME \* MERGEFORMAT ">
            <w:r>
              <w:rPr>
                <w:noProof/>
              </w:rPr>
              <w:t>A_04+zaver 08-2020.docx</w:t>
            </w:r>
          </w:fldSimple>
        </w:p>
      </w:tc>
      <w:tc>
        <w:tcPr>
          <w:tcW w:w="4605" w:type="dxa"/>
          <w:tcBorders>
            <w:top w:val="single" w:sz="4" w:space="0" w:color="auto"/>
          </w:tcBorders>
          <w:vAlign w:val="bottom"/>
        </w:tcPr>
        <w:p w14:paraId="3D9DF4DF" w14:textId="77777777" w:rsidR="00BE0FEB" w:rsidRDefault="00BE0FEB">
          <w:pPr>
            <w:pStyle w:val="Zpat"/>
            <w:jc w:val="right"/>
          </w:pPr>
          <w:r>
            <w:t xml:space="preserve">strana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1E1F3D">
            <w:rPr>
              <w:noProof/>
            </w:rPr>
            <w:t>1</w:t>
          </w:r>
          <w:r>
            <w:fldChar w:fldCharType="end"/>
          </w:r>
        </w:p>
      </w:tc>
    </w:tr>
  </w:tbl>
  <w:p w14:paraId="60880408" w14:textId="77777777" w:rsidR="00BE0FEB" w:rsidRDefault="00BE0FEB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493322" w14:textId="77777777" w:rsidR="0046691A" w:rsidRDefault="0046691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DE47B2" w14:textId="77777777" w:rsidR="006B5805" w:rsidRDefault="006B5805">
      <w:r>
        <w:separator/>
      </w:r>
    </w:p>
  </w:footnote>
  <w:footnote w:type="continuationSeparator" w:id="0">
    <w:p w14:paraId="44948B72" w14:textId="77777777" w:rsidR="006B5805" w:rsidRDefault="006B58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F43F96" w14:textId="77777777" w:rsidR="0046691A" w:rsidRDefault="0046691A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Ind w:w="-72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77"/>
      <w:gridCol w:w="4605"/>
    </w:tblGrid>
    <w:tr w:rsidR="00BC0753" w14:paraId="31C67C38" w14:textId="77777777" w:rsidTr="002F650F">
      <w:tc>
        <w:tcPr>
          <w:tcW w:w="4677" w:type="dxa"/>
          <w:tcBorders>
            <w:bottom w:val="single" w:sz="4" w:space="0" w:color="auto"/>
          </w:tcBorders>
        </w:tcPr>
        <w:p w14:paraId="33EFA066" w14:textId="77777777" w:rsidR="00BC0753" w:rsidRDefault="00101B48" w:rsidP="00BC0753">
          <w:pPr>
            <w:pStyle w:val="Zhlav"/>
          </w:pPr>
          <w:r>
            <w:t>List opatření</w:t>
          </w:r>
        </w:p>
      </w:tc>
      <w:tc>
        <w:tcPr>
          <w:tcW w:w="4605" w:type="dxa"/>
          <w:tcBorders>
            <w:bottom w:val="single" w:sz="4" w:space="0" w:color="auto"/>
          </w:tcBorders>
          <w:vAlign w:val="bottom"/>
        </w:tcPr>
        <w:p w14:paraId="0AE94346" w14:textId="77777777" w:rsidR="00BC0753" w:rsidRDefault="00BC0753" w:rsidP="00BC0753">
          <w:pPr>
            <w:pStyle w:val="Zhlav"/>
            <w:jc w:val="right"/>
          </w:pPr>
          <w:r w:rsidRPr="005972D8">
            <w:t>Posouzení návrhu řešení města Krnov</w:t>
          </w:r>
          <w:r>
            <w:t>a</w:t>
          </w:r>
          <w:r w:rsidRPr="005972D8">
            <w:t xml:space="preserve"> </w:t>
          </w:r>
          <w:r>
            <w:br/>
          </w:r>
          <w:r w:rsidRPr="005972D8">
            <w:t>podle studie "Krnov: Řeka ve městě"</w:t>
          </w:r>
        </w:p>
      </w:tc>
    </w:tr>
    <w:tr w:rsidR="00BE0FEB" w14:paraId="383B0316" w14:textId="77777777" w:rsidTr="002F650F">
      <w:trPr>
        <w:cantSplit/>
      </w:trPr>
      <w:tc>
        <w:tcPr>
          <w:tcW w:w="9282" w:type="dxa"/>
          <w:gridSpan w:val="2"/>
          <w:tcBorders>
            <w:top w:val="single" w:sz="4" w:space="0" w:color="auto"/>
            <w:bottom w:val="nil"/>
          </w:tcBorders>
        </w:tcPr>
        <w:p w14:paraId="26983521" w14:textId="77777777" w:rsidR="00BE0FEB" w:rsidRDefault="00D55156">
          <w:pPr>
            <w:pStyle w:val="Zhlav"/>
            <w:jc w:val="right"/>
          </w:pPr>
          <w:proofErr w:type="gramStart"/>
          <w:r>
            <w:t>20044A</w:t>
          </w:r>
          <w:proofErr w:type="gramEnd"/>
        </w:p>
      </w:tc>
    </w:tr>
  </w:tbl>
  <w:p w14:paraId="4AF24380" w14:textId="77777777" w:rsidR="00BE0FEB" w:rsidRDefault="00BE0FEB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632583" w14:textId="77777777" w:rsidR="0046691A" w:rsidRDefault="0046691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E"/>
    <w:multiLevelType w:val="singleLevel"/>
    <w:tmpl w:val="FC2CBE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0F20B8A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2438FC3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66A2B2D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45C2A6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F466B2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4F3A3C96"/>
    <w:multiLevelType w:val="hybridMultilevel"/>
    <w:tmpl w:val="26B43D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8452E4"/>
    <w:multiLevelType w:val="multilevel"/>
    <w:tmpl w:val="63E00C6E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7"/>
  </w:num>
  <w:num w:numId="5">
    <w:abstractNumId w:val="7"/>
  </w:num>
  <w:num w:numId="6">
    <w:abstractNumId w:val="7"/>
  </w:num>
  <w:num w:numId="7">
    <w:abstractNumId w:val="7"/>
  </w:num>
  <w:num w:numId="8">
    <w:abstractNumId w:val="5"/>
  </w:num>
  <w:num w:numId="9">
    <w:abstractNumId w:val="5"/>
  </w:num>
  <w:num w:numId="10">
    <w:abstractNumId w:val="3"/>
  </w:num>
  <w:num w:numId="11">
    <w:abstractNumId w:val="3"/>
  </w:num>
  <w:num w:numId="12">
    <w:abstractNumId w:val="2"/>
  </w:num>
  <w:num w:numId="13">
    <w:abstractNumId w:val="2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BD23D3"/>
    <w:rsid w:val="00005AF0"/>
    <w:rsid w:val="00036659"/>
    <w:rsid w:val="00101B48"/>
    <w:rsid w:val="00125B3F"/>
    <w:rsid w:val="00136C11"/>
    <w:rsid w:val="0016759A"/>
    <w:rsid w:val="001D5D4A"/>
    <w:rsid w:val="001D6AFC"/>
    <w:rsid w:val="001E1F3D"/>
    <w:rsid w:val="001E785B"/>
    <w:rsid w:val="00235460"/>
    <w:rsid w:val="00237355"/>
    <w:rsid w:val="00266418"/>
    <w:rsid w:val="002A58E1"/>
    <w:rsid w:val="002D70C7"/>
    <w:rsid w:val="002F08DA"/>
    <w:rsid w:val="002F650F"/>
    <w:rsid w:val="00376C77"/>
    <w:rsid w:val="003F5A51"/>
    <w:rsid w:val="003F6C8C"/>
    <w:rsid w:val="0046691A"/>
    <w:rsid w:val="00493812"/>
    <w:rsid w:val="004B011A"/>
    <w:rsid w:val="00516C15"/>
    <w:rsid w:val="005239E6"/>
    <w:rsid w:val="00530A57"/>
    <w:rsid w:val="00536597"/>
    <w:rsid w:val="005B07AF"/>
    <w:rsid w:val="005E182B"/>
    <w:rsid w:val="0060137D"/>
    <w:rsid w:val="00693ADA"/>
    <w:rsid w:val="00693F6B"/>
    <w:rsid w:val="006B5805"/>
    <w:rsid w:val="0073455A"/>
    <w:rsid w:val="0076507D"/>
    <w:rsid w:val="00786911"/>
    <w:rsid w:val="007A23EE"/>
    <w:rsid w:val="007A41FB"/>
    <w:rsid w:val="00834B0D"/>
    <w:rsid w:val="008C729F"/>
    <w:rsid w:val="008E208F"/>
    <w:rsid w:val="00924461"/>
    <w:rsid w:val="00947DE4"/>
    <w:rsid w:val="009B4603"/>
    <w:rsid w:val="009F1E69"/>
    <w:rsid w:val="00A25733"/>
    <w:rsid w:val="00A97F99"/>
    <w:rsid w:val="00AE7AD2"/>
    <w:rsid w:val="00AF39CA"/>
    <w:rsid w:val="00AF5F5A"/>
    <w:rsid w:val="00B02378"/>
    <w:rsid w:val="00B50DEA"/>
    <w:rsid w:val="00BA30F1"/>
    <w:rsid w:val="00BC0753"/>
    <w:rsid w:val="00BD23D3"/>
    <w:rsid w:val="00BE0FEB"/>
    <w:rsid w:val="00C00656"/>
    <w:rsid w:val="00C123EF"/>
    <w:rsid w:val="00C240AB"/>
    <w:rsid w:val="00C73AD6"/>
    <w:rsid w:val="00C857BD"/>
    <w:rsid w:val="00C9795E"/>
    <w:rsid w:val="00D14C4A"/>
    <w:rsid w:val="00D3721A"/>
    <w:rsid w:val="00D375C4"/>
    <w:rsid w:val="00D55156"/>
    <w:rsid w:val="00DA6A67"/>
    <w:rsid w:val="00DD256E"/>
    <w:rsid w:val="00DD57F1"/>
    <w:rsid w:val="00E25109"/>
    <w:rsid w:val="00E54B7B"/>
    <w:rsid w:val="00E63454"/>
    <w:rsid w:val="00ED3333"/>
    <w:rsid w:val="00EE1E05"/>
    <w:rsid w:val="00F0710C"/>
    <w:rsid w:val="00F958DC"/>
    <w:rsid w:val="00FC76D1"/>
    <w:rsid w:val="00FF3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A1F294"/>
  <w15:docId w15:val="{5989D4D7-8FFD-4805-BBD4-8288A72708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rFonts w:ascii="Arial" w:hAnsi="Arial"/>
      <w:szCs w:val="24"/>
    </w:rPr>
  </w:style>
  <w:style w:type="paragraph" w:styleId="Nadpis1">
    <w:name w:val="heading 1"/>
    <w:basedOn w:val="Normln"/>
    <w:next w:val="Bntext"/>
    <w:qFormat/>
    <w:pPr>
      <w:keepNext/>
      <w:widowControl w:val="0"/>
      <w:numPr>
        <w:numId w:val="4"/>
      </w:numPr>
      <w:spacing w:before="240" w:after="60"/>
      <w:outlineLvl w:val="0"/>
    </w:pPr>
    <w:rPr>
      <w:rFonts w:cs="Arial"/>
      <w:b/>
      <w:bCs/>
      <w:caps/>
      <w:kern w:val="28"/>
      <w:sz w:val="28"/>
      <w:szCs w:val="32"/>
    </w:rPr>
  </w:style>
  <w:style w:type="paragraph" w:styleId="Nadpis2">
    <w:name w:val="heading 2"/>
    <w:basedOn w:val="Normln"/>
    <w:next w:val="Bntext"/>
    <w:qFormat/>
    <w:pPr>
      <w:keepNext/>
      <w:widowControl w:val="0"/>
      <w:numPr>
        <w:ilvl w:val="1"/>
        <w:numId w:val="5"/>
      </w:numPr>
      <w:spacing w:before="240" w:after="60"/>
      <w:outlineLvl w:val="1"/>
    </w:pPr>
    <w:rPr>
      <w:rFonts w:cs="Arial"/>
      <w:b/>
      <w:bCs/>
      <w:iCs/>
      <w:kern w:val="28"/>
      <w:sz w:val="28"/>
      <w:szCs w:val="28"/>
    </w:rPr>
  </w:style>
  <w:style w:type="paragraph" w:styleId="Nadpis3">
    <w:name w:val="heading 3"/>
    <w:basedOn w:val="Normln"/>
    <w:next w:val="Bntext"/>
    <w:qFormat/>
    <w:pPr>
      <w:keepNext/>
      <w:widowControl w:val="0"/>
      <w:numPr>
        <w:ilvl w:val="2"/>
        <w:numId w:val="6"/>
      </w:numPr>
      <w:spacing w:before="240" w:after="60"/>
      <w:outlineLvl w:val="2"/>
    </w:pPr>
    <w:rPr>
      <w:rFonts w:cs="Arial"/>
      <w:b/>
      <w:bCs/>
      <w:kern w:val="24"/>
      <w:sz w:val="24"/>
      <w:szCs w:val="26"/>
    </w:rPr>
  </w:style>
  <w:style w:type="paragraph" w:styleId="Nadpis4">
    <w:name w:val="heading 4"/>
    <w:basedOn w:val="Normln"/>
    <w:next w:val="Bntext"/>
    <w:qFormat/>
    <w:pPr>
      <w:keepNext/>
      <w:widowControl w:val="0"/>
      <w:numPr>
        <w:ilvl w:val="3"/>
        <w:numId w:val="7"/>
      </w:numPr>
      <w:tabs>
        <w:tab w:val="clear" w:pos="1080"/>
        <w:tab w:val="left" w:pos="851"/>
      </w:tabs>
      <w:spacing w:before="240" w:after="60"/>
      <w:outlineLvl w:val="3"/>
    </w:pPr>
    <w:rPr>
      <w:b/>
      <w:bCs/>
      <w:kern w:val="22"/>
      <w:sz w:val="22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widowControl w:val="0"/>
      <w:spacing w:before="60" w:after="60"/>
    </w:pPr>
    <w:rPr>
      <w:i/>
    </w:rPr>
  </w:style>
  <w:style w:type="paragraph" w:styleId="Zpat">
    <w:name w:val="footer"/>
    <w:basedOn w:val="Normln"/>
    <w:pPr>
      <w:widowControl w:val="0"/>
      <w:spacing w:before="60" w:after="60"/>
    </w:pPr>
    <w:rPr>
      <w:i/>
    </w:rPr>
  </w:style>
  <w:style w:type="paragraph" w:customStyle="1" w:styleId="Bntext">
    <w:name w:val="Běžný text"/>
    <w:basedOn w:val="Normln"/>
    <w:pPr>
      <w:widowControl w:val="0"/>
      <w:spacing w:before="60" w:after="60"/>
      <w:jc w:val="both"/>
    </w:pPr>
  </w:style>
  <w:style w:type="paragraph" w:customStyle="1" w:styleId="Bntextodsazen">
    <w:name w:val="Běžný text odsazený"/>
    <w:basedOn w:val="Normln"/>
    <w:pPr>
      <w:widowControl w:val="0"/>
      <w:spacing w:before="60" w:after="60"/>
      <w:ind w:left="851"/>
    </w:pPr>
  </w:style>
  <w:style w:type="paragraph" w:styleId="slovanseznam">
    <w:name w:val="List Number"/>
    <w:basedOn w:val="Normln"/>
    <w:pPr>
      <w:widowControl w:val="0"/>
      <w:tabs>
        <w:tab w:val="left" w:pos="357"/>
      </w:tabs>
      <w:ind w:left="357" w:hanging="357"/>
    </w:pPr>
  </w:style>
  <w:style w:type="paragraph" w:styleId="slovanseznam2">
    <w:name w:val="List Number 2"/>
    <w:basedOn w:val="Normln"/>
    <w:pPr>
      <w:widowControl w:val="0"/>
      <w:tabs>
        <w:tab w:val="left" w:pos="851"/>
      </w:tabs>
      <w:ind w:left="851" w:hanging="851"/>
    </w:pPr>
  </w:style>
  <w:style w:type="paragraph" w:styleId="slovanseznam3">
    <w:name w:val="List Number 3"/>
    <w:basedOn w:val="Normln"/>
    <w:pPr>
      <w:widowControl w:val="0"/>
      <w:tabs>
        <w:tab w:val="left" w:pos="851"/>
      </w:tabs>
      <w:ind w:left="851" w:hanging="284"/>
    </w:pPr>
  </w:style>
  <w:style w:type="paragraph" w:customStyle="1" w:styleId="NadpisA">
    <w:name w:val="Nadpis A"/>
    <w:basedOn w:val="Normln"/>
    <w:next w:val="Bntext"/>
    <w:pPr>
      <w:keepNext/>
      <w:widowControl w:val="0"/>
      <w:spacing w:before="240" w:after="60"/>
    </w:pPr>
    <w:rPr>
      <w:b/>
      <w:caps/>
      <w:kern w:val="28"/>
      <w:sz w:val="28"/>
    </w:rPr>
  </w:style>
  <w:style w:type="paragraph" w:customStyle="1" w:styleId="NadpisB">
    <w:name w:val="Nadpis B"/>
    <w:basedOn w:val="Normln"/>
    <w:next w:val="Bntext"/>
    <w:pPr>
      <w:keepNext/>
      <w:widowControl w:val="0"/>
      <w:spacing w:before="240" w:after="60"/>
    </w:pPr>
    <w:rPr>
      <w:b/>
      <w:kern w:val="28"/>
      <w:sz w:val="28"/>
    </w:rPr>
  </w:style>
  <w:style w:type="paragraph" w:customStyle="1" w:styleId="NadpisC">
    <w:name w:val="Nadpis C"/>
    <w:basedOn w:val="Normln"/>
    <w:next w:val="Bntext"/>
    <w:pPr>
      <w:keepNext/>
      <w:widowControl w:val="0"/>
      <w:spacing w:before="240" w:after="60"/>
    </w:pPr>
    <w:rPr>
      <w:b/>
      <w:kern w:val="24"/>
      <w:sz w:val="24"/>
    </w:rPr>
  </w:style>
  <w:style w:type="paragraph" w:customStyle="1" w:styleId="NadpisD">
    <w:name w:val="Nadpis D"/>
    <w:basedOn w:val="Normln"/>
    <w:next w:val="Bntext"/>
    <w:pPr>
      <w:keepNext/>
      <w:widowControl w:val="0"/>
      <w:spacing w:before="240" w:after="60"/>
    </w:pPr>
    <w:rPr>
      <w:b/>
      <w:kern w:val="22"/>
      <w:sz w:val="22"/>
    </w:rPr>
  </w:style>
  <w:style w:type="paragraph" w:customStyle="1" w:styleId="Nzevobrzku">
    <w:name w:val="Název obrázku"/>
    <w:basedOn w:val="Normln"/>
    <w:rPr>
      <w:i/>
    </w:rPr>
  </w:style>
  <w:style w:type="paragraph" w:customStyle="1" w:styleId="Nzevtabulky">
    <w:name w:val="Název tabulky"/>
    <w:basedOn w:val="Normln"/>
    <w:rPr>
      <w:i/>
    </w:rPr>
  </w:style>
  <w:style w:type="paragraph" w:styleId="Obsah1">
    <w:name w:val="toc 1"/>
    <w:basedOn w:val="Normln"/>
    <w:next w:val="Bntext"/>
    <w:autoRedefine/>
    <w:semiHidden/>
    <w:pPr>
      <w:widowControl w:val="0"/>
      <w:spacing w:after="60"/>
    </w:pPr>
    <w:rPr>
      <w:caps/>
    </w:rPr>
  </w:style>
  <w:style w:type="paragraph" w:styleId="Obsah2">
    <w:name w:val="toc 2"/>
    <w:basedOn w:val="Normln"/>
    <w:next w:val="Bntext"/>
    <w:autoRedefine/>
    <w:semiHidden/>
    <w:pPr>
      <w:widowControl w:val="0"/>
      <w:spacing w:after="60"/>
      <w:ind w:left="198"/>
    </w:pPr>
  </w:style>
  <w:style w:type="paragraph" w:styleId="Obsah3">
    <w:name w:val="toc 3"/>
    <w:basedOn w:val="Normln"/>
    <w:next w:val="Bntext"/>
    <w:autoRedefine/>
    <w:semiHidden/>
    <w:pPr>
      <w:widowControl w:val="0"/>
      <w:spacing w:after="60"/>
      <w:ind w:left="403"/>
    </w:pPr>
  </w:style>
  <w:style w:type="paragraph" w:styleId="Obsah4">
    <w:name w:val="toc 4"/>
    <w:basedOn w:val="Normln"/>
    <w:next w:val="Bntext"/>
    <w:autoRedefine/>
    <w:semiHidden/>
    <w:pPr>
      <w:widowControl w:val="0"/>
      <w:spacing w:after="60"/>
      <w:ind w:left="601"/>
    </w:pPr>
  </w:style>
  <w:style w:type="paragraph" w:styleId="Seznamsodrkami">
    <w:name w:val="List Bullet"/>
    <w:basedOn w:val="Normln"/>
    <w:autoRedefine/>
    <w:pPr>
      <w:widowControl w:val="0"/>
      <w:numPr>
        <w:numId w:val="9"/>
      </w:numPr>
      <w:tabs>
        <w:tab w:val="clear" w:pos="360"/>
        <w:tab w:val="left" w:pos="357"/>
      </w:tabs>
      <w:ind w:left="357" w:hanging="357"/>
    </w:pPr>
  </w:style>
  <w:style w:type="paragraph" w:styleId="Seznamsodrkami2">
    <w:name w:val="List Bullet 2"/>
    <w:basedOn w:val="Normln"/>
    <w:autoRedefine/>
    <w:pPr>
      <w:widowControl w:val="0"/>
      <w:numPr>
        <w:numId w:val="11"/>
      </w:numPr>
      <w:tabs>
        <w:tab w:val="clear" w:pos="643"/>
        <w:tab w:val="left" w:pos="851"/>
      </w:tabs>
      <w:ind w:left="851" w:hanging="851"/>
    </w:pPr>
  </w:style>
  <w:style w:type="paragraph" w:styleId="Seznamsodrkami3">
    <w:name w:val="List Bullet 3"/>
    <w:basedOn w:val="Normln"/>
    <w:autoRedefine/>
    <w:pPr>
      <w:widowControl w:val="0"/>
      <w:numPr>
        <w:numId w:val="13"/>
      </w:numPr>
      <w:tabs>
        <w:tab w:val="clear" w:pos="926"/>
        <w:tab w:val="left" w:pos="851"/>
      </w:tabs>
      <w:ind w:left="851" w:hanging="284"/>
    </w:pPr>
  </w:style>
  <w:style w:type="paragraph" w:styleId="Textpoznpodarou">
    <w:name w:val="footnote text"/>
    <w:basedOn w:val="Normln"/>
    <w:semiHidden/>
    <w:pPr>
      <w:ind w:left="284" w:hanging="284"/>
    </w:pPr>
    <w:rPr>
      <w:i/>
      <w:szCs w:val="20"/>
    </w:rPr>
  </w:style>
  <w:style w:type="paragraph" w:customStyle="1" w:styleId="Texttabulky">
    <w:name w:val="Text tabulky"/>
    <w:basedOn w:val="Normln"/>
    <w:pPr>
      <w:widowControl w:val="0"/>
      <w:spacing w:before="60" w:after="60"/>
    </w:pPr>
  </w:style>
  <w:style w:type="table" w:styleId="Mkatabulky">
    <w:name w:val="Table Grid"/>
    <w:basedOn w:val="Normlntabulka"/>
    <w:rsid w:val="002F65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F65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508</TotalTime>
  <Pages>3</Pages>
  <Words>524</Words>
  <Characters>3094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Pöyry Environment a.s.</Company>
  <LinksUpToDate>false</LinksUpToDate>
  <CharactersWithSpaces>3611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Svancara, Jiri_x000d_</dc:creator>
  <cp:lastModifiedBy>. .</cp:lastModifiedBy>
  <cp:revision>53</cp:revision>
  <cp:lastPrinted>2020-03-13T16:31:00Z</cp:lastPrinted>
  <dcterms:created xsi:type="dcterms:W3CDTF">2020-02-20T08:46:00Z</dcterms:created>
  <dcterms:modified xsi:type="dcterms:W3CDTF">2020-08-17T15:16:00Z</dcterms:modified>
</cp:coreProperties>
</file>