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449E63E5" w14:textId="77777777" w:rsidTr="00DA6A67">
        <w:tc>
          <w:tcPr>
            <w:tcW w:w="1384" w:type="dxa"/>
            <w:shd w:val="clear" w:color="auto" w:fill="D9D9D9" w:themeFill="background1" w:themeFillShade="D9"/>
            <w:vAlign w:val="bottom"/>
          </w:tcPr>
          <w:p w14:paraId="7F140A3D" w14:textId="77777777" w:rsidR="00ED3333" w:rsidRPr="00ED3333" w:rsidRDefault="000B4880" w:rsidP="00ED3333">
            <w:pPr>
              <w:rPr>
                <w:b/>
                <w:bCs/>
                <w:sz w:val="28"/>
                <w:szCs w:val="28"/>
              </w:rPr>
            </w:pPr>
            <w:r>
              <w:rPr>
                <w:b/>
                <w:bCs/>
                <w:sz w:val="28"/>
                <w:szCs w:val="28"/>
              </w:rPr>
              <w:t>B</w:t>
            </w:r>
            <w:r w:rsidR="00ED3333" w:rsidRPr="00ED3333">
              <w:rPr>
                <w:b/>
                <w:bCs/>
                <w:sz w:val="28"/>
                <w:szCs w:val="28"/>
              </w:rPr>
              <w:t>.0</w:t>
            </w:r>
            <w:r>
              <w:rPr>
                <w:b/>
                <w:bCs/>
                <w:sz w:val="28"/>
                <w:szCs w:val="28"/>
              </w:rPr>
              <w:t>7</w:t>
            </w:r>
          </w:p>
        </w:tc>
        <w:tc>
          <w:tcPr>
            <w:tcW w:w="7826" w:type="dxa"/>
            <w:shd w:val="clear" w:color="auto" w:fill="D9D9D9" w:themeFill="background1" w:themeFillShade="D9"/>
            <w:vAlign w:val="bottom"/>
          </w:tcPr>
          <w:p w14:paraId="3ED9CD1B" w14:textId="77777777" w:rsidR="00ED3333" w:rsidRPr="00ED3333" w:rsidRDefault="000B4880" w:rsidP="00ED3333">
            <w:pPr>
              <w:rPr>
                <w:b/>
                <w:bCs/>
                <w:sz w:val="28"/>
                <w:szCs w:val="28"/>
              </w:rPr>
            </w:pPr>
            <w:r>
              <w:rPr>
                <w:b/>
                <w:bCs/>
                <w:sz w:val="28"/>
                <w:szCs w:val="28"/>
              </w:rPr>
              <w:t>Ochranná zídka</w:t>
            </w:r>
            <w:r w:rsidR="000E04A0">
              <w:rPr>
                <w:b/>
                <w:bCs/>
                <w:sz w:val="28"/>
                <w:szCs w:val="28"/>
              </w:rPr>
              <w:t xml:space="preserve"> </w:t>
            </w:r>
            <w:r w:rsidR="00222AFA">
              <w:rPr>
                <w:b/>
                <w:bCs/>
                <w:sz w:val="28"/>
                <w:szCs w:val="28"/>
              </w:rPr>
              <w:t>(LB)</w:t>
            </w:r>
          </w:p>
        </w:tc>
      </w:tr>
      <w:tr w:rsidR="002F650F" w14:paraId="18E6B30A" w14:textId="77777777" w:rsidTr="002F650F">
        <w:tc>
          <w:tcPr>
            <w:tcW w:w="1384" w:type="dxa"/>
          </w:tcPr>
          <w:p w14:paraId="0B6B0EED" w14:textId="77777777" w:rsidR="002F650F" w:rsidRDefault="00ED3333" w:rsidP="002F650F">
            <w:r>
              <w:t>Úsek</w:t>
            </w:r>
          </w:p>
        </w:tc>
        <w:tc>
          <w:tcPr>
            <w:tcW w:w="7826" w:type="dxa"/>
          </w:tcPr>
          <w:p w14:paraId="25285F8F" w14:textId="77777777" w:rsidR="002F650F" w:rsidRDefault="00AB1BD3" w:rsidP="002F650F">
            <w:r>
              <w:t>B</w:t>
            </w:r>
            <w:r w:rsidRPr="00113E1A">
              <w:t xml:space="preserve"> (</w:t>
            </w:r>
            <w:r w:rsidRPr="005E2ECD">
              <w:t>u domů s pečovatelskou službou</w:t>
            </w:r>
            <w:r w:rsidRPr="00113E1A">
              <w:t>)</w:t>
            </w:r>
          </w:p>
        </w:tc>
      </w:tr>
    </w:tbl>
    <w:p w14:paraId="656F420D" w14:textId="77777777" w:rsidR="00BE0FEB" w:rsidRDefault="00BE0FEB">
      <w:pPr>
        <w:pStyle w:val="Bntext"/>
      </w:pPr>
    </w:p>
    <w:p w14:paraId="7845C822" w14:textId="77777777" w:rsidR="002F650F" w:rsidRDefault="008E208F" w:rsidP="00DA6A67">
      <w:pPr>
        <w:pStyle w:val="NadpisC"/>
      </w:pPr>
      <w:r>
        <w:t>1</w:t>
      </w:r>
      <w:r>
        <w:tab/>
      </w:r>
      <w:r w:rsidR="002F650F">
        <w:t>Popis námětu dle Studie</w:t>
      </w:r>
    </w:p>
    <w:p w14:paraId="281BB145" w14:textId="77777777" w:rsidR="002F650F" w:rsidRPr="005244B1" w:rsidRDefault="005244B1" w:rsidP="005244B1">
      <w:pPr>
        <w:pStyle w:val="Bntext"/>
        <w:rPr>
          <w:i/>
          <w:iCs/>
        </w:rPr>
      </w:pPr>
      <w:r w:rsidRPr="005244B1">
        <w:rPr>
          <w:i/>
          <w:iCs/>
        </w:rPr>
        <w:t>Protipovodňová ochrana zástavby na Q150. Zídka odděluje prostor vnitřních dvorů domů s</w:t>
      </w:r>
      <w:r w:rsidR="00501C2C">
        <w:rPr>
          <w:i/>
          <w:iCs/>
        </w:rPr>
        <w:t> </w:t>
      </w:r>
      <w:r w:rsidRPr="005244B1">
        <w:rPr>
          <w:i/>
          <w:iCs/>
        </w:rPr>
        <w:t>pečovatelskou službou s pobytovým veřejným prostorem. Materiálové řešení zídky navazuje na materiálové řešení opěrné stěny, resp. kámen (řádkové nebo tzv. kyklopské zdivo), horní hrana zídky je ukončena kamennou deskou, popř. cihelnou korunou. Spolehlivá protipovodňová funkce ochranné zídky, v návaznosti na opěrnou stěnu je řešena mobilními zábranami.</w:t>
      </w:r>
    </w:p>
    <w:p w14:paraId="496C73B7" w14:textId="77777777" w:rsidR="002F650F" w:rsidRDefault="008E208F" w:rsidP="00DA6A67">
      <w:pPr>
        <w:pStyle w:val="NadpisC"/>
      </w:pPr>
      <w:r>
        <w:t>2</w:t>
      </w:r>
      <w:r>
        <w:tab/>
      </w:r>
      <w:r w:rsidR="002F650F">
        <w:t>Umístění</w:t>
      </w:r>
    </w:p>
    <w:p w14:paraId="60A0108A" w14:textId="77777777" w:rsidR="00EC142E" w:rsidRDefault="00EC142E" w:rsidP="008534B0">
      <w:pPr>
        <w:pStyle w:val="Bntext"/>
      </w:pPr>
    </w:p>
    <w:p w14:paraId="77A76EE6" w14:textId="77777777" w:rsidR="00EC142E" w:rsidRDefault="00EC142E" w:rsidP="00501C2C">
      <w:r>
        <w:rPr>
          <w:noProof/>
        </w:rPr>
        <mc:AlternateContent>
          <mc:Choice Requires="wps">
            <w:drawing>
              <wp:anchor distT="0" distB="0" distL="114300" distR="114300" simplePos="0" relativeHeight="251658240" behindDoc="0" locked="0" layoutInCell="1" allowOverlap="1" wp14:anchorId="7F7FFD8B" wp14:editId="6C2EB7C7">
                <wp:simplePos x="0" y="0"/>
                <wp:positionH relativeFrom="column">
                  <wp:posOffset>1250804</wp:posOffset>
                </wp:positionH>
                <wp:positionV relativeFrom="paragraph">
                  <wp:posOffset>793310</wp:posOffset>
                </wp:positionV>
                <wp:extent cx="1656077" cy="632557"/>
                <wp:effectExtent l="0" t="152400" r="0" b="148590"/>
                <wp:wrapNone/>
                <wp:docPr id="3" name="Ovál 3"/>
                <wp:cNvGraphicFramePr/>
                <a:graphic xmlns:a="http://schemas.openxmlformats.org/drawingml/2006/main">
                  <a:graphicData uri="http://schemas.microsoft.com/office/word/2010/wordprocessingShape">
                    <wps:wsp>
                      <wps:cNvSpPr/>
                      <wps:spPr>
                        <a:xfrm rot="20127549">
                          <a:off x="0" y="0"/>
                          <a:ext cx="1656077" cy="632557"/>
                        </a:xfrm>
                        <a:prstGeom prst="ellipse">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D767DE" id="Ovál 3" o:spid="_x0000_s1026" style="position:absolute;margin-left:98.5pt;margin-top:62.45pt;width:130.4pt;height:49.8pt;rotation:-1608309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" filled="f" strokecolor="#7030a0" strokeweight="2pt"/>
            </w:pict>
          </mc:Fallback>
        </mc:AlternateContent>
      </w:r>
      <w:r w:rsidRPr="00EC142E">
        <w:rPr>
          <w:noProof/>
        </w:rPr>
        <w:drawing>
          <wp:inline distT="0" distB="0" distL="0" distR="0" wp14:anchorId="574D37EA" wp14:editId="4866F821">
            <wp:extent cx="4398136" cy="246770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09741" cy="2474219"/>
                    </a:xfrm>
                    <a:prstGeom prst="rect">
                      <a:avLst/>
                    </a:prstGeom>
                  </pic:spPr>
                </pic:pic>
              </a:graphicData>
            </a:graphic>
          </wp:inline>
        </w:drawing>
      </w:r>
    </w:p>
    <w:p w14:paraId="6D56558D" w14:textId="77777777" w:rsidR="00EC142E" w:rsidRDefault="00EC142E" w:rsidP="00501C2C"/>
    <w:p w14:paraId="241D06EC" w14:textId="77777777" w:rsidR="008534B0" w:rsidRPr="008534B0" w:rsidRDefault="008534B0" w:rsidP="008534B0">
      <w:pPr>
        <w:pStyle w:val="Bntext"/>
      </w:pPr>
      <w:r w:rsidRPr="008534B0">
        <w:t xml:space="preserve">Námět v souladu s ÚP. Koridory vodní a </w:t>
      </w:r>
      <w:proofErr w:type="gramStart"/>
      <w:r w:rsidRPr="008534B0">
        <w:t>vodohospodářské - KW</w:t>
      </w:r>
      <w:proofErr w:type="gramEnd"/>
      <w:r w:rsidRPr="008534B0">
        <w:t>-026</w:t>
      </w:r>
      <w:r w:rsidR="00501C2C">
        <w:t>.</w:t>
      </w:r>
    </w:p>
    <w:p w14:paraId="089F5997" w14:textId="77777777" w:rsidR="008534B0" w:rsidRPr="008534B0" w:rsidRDefault="008534B0" w:rsidP="008534B0">
      <w:pPr>
        <w:pStyle w:val="Bntext"/>
      </w:pPr>
      <w:r w:rsidRPr="008534B0">
        <w:t xml:space="preserve">Zábory, majetkoprávní vypořádání – pozemek </w:t>
      </w:r>
      <w:r>
        <w:t xml:space="preserve">Města Krnova a </w:t>
      </w:r>
      <w:r w:rsidRPr="008534B0">
        <w:t>PO.</w:t>
      </w:r>
    </w:p>
    <w:p w14:paraId="643C9EC4" w14:textId="77777777" w:rsidR="00235460" w:rsidRPr="00ED3333" w:rsidRDefault="008534B0" w:rsidP="00ED3333">
      <w:pPr>
        <w:pStyle w:val="Bntext"/>
      </w:pPr>
      <w:r>
        <w:t>K</w:t>
      </w:r>
      <w:r w:rsidRPr="008534B0">
        <w:t>olize s</w:t>
      </w:r>
      <w:r>
        <w:t> </w:t>
      </w:r>
      <w:r w:rsidRPr="008534B0">
        <w:t>infrastrukturou</w:t>
      </w:r>
      <w:r>
        <w:t xml:space="preserve"> – kanalizace DN300, vodovod</w:t>
      </w:r>
      <w:r w:rsidR="009428AC">
        <w:t xml:space="preserve">, podzemní vedení </w:t>
      </w:r>
      <w:r w:rsidR="006C03BE">
        <w:t>NN.</w:t>
      </w:r>
    </w:p>
    <w:p w14:paraId="04A3A5CA" w14:textId="77777777" w:rsidR="002F650F" w:rsidRDefault="008E208F" w:rsidP="00235460">
      <w:pPr>
        <w:pStyle w:val="NadpisC"/>
      </w:pPr>
      <w:r>
        <w:t>3</w:t>
      </w:r>
      <w:r>
        <w:tab/>
      </w:r>
      <w:r w:rsidR="00235460">
        <w:t>Komentář</w:t>
      </w:r>
    </w:p>
    <w:p w14:paraId="151BEF08" w14:textId="77777777" w:rsidR="00EC142E" w:rsidRDefault="00EC142E" w:rsidP="009428AC">
      <w:pPr>
        <w:pStyle w:val="Bntext"/>
      </w:pPr>
      <w:r>
        <w:t xml:space="preserve">Nesprávně uveden parametr. Nejedná se o Q150, ale o </w:t>
      </w:r>
      <w:proofErr w:type="spellStart"/>
      <w:r>
        <w:t>Q</w:t>
      </w:r>
      <w:r w:rsidRPr="00EC142E">
        <w:rPr>
          <w:vertAlign w:val="subscript"/>
        </w:rPr>
        <w:t>Návrh</w:t>
      </w:r>
      <w:proofErr w:type="spellEnd"/>
      <w:r w:rsidRPr="00EC142E">
        <w:rPr>
          <w:vertAlign w:val="subscript"/>
        </w:rPr>
        <w:t>.</w:t>
      </w:r>
      <w:r>
        <w:t xml:space="preserve"> = 150 m</w:t>
      </w:r>
      <w:r w:rsidRPr="00EC142E">
        <w:rPr>
          <w:vertAlign w:val="superscript"/>
        </w:rPr>
        <w:t>3</w:t>
      </w:r>
      <w:r>
        <w:t>/s.</w:t>
      </w:r>
    </w:p>
    <w:p w14:paraId="6BADC5AB" w14:textId="77777777" w:rsidR="009428AC" w:rsidRDefault="009428AC" w:rsidP="009428AC">
      <w:pPr>
        <w:pStyle w:val="Bntext"/>
      </w:pPr>
      <w:r>
        <w:t>Řešení je uvedeno na přílohách studie: zpráva A str. 21, situace B.</w:t>
      </w:r>
      <w:proofErr w:type="gramStart"/>
      <w:r>
        <w:t>04b</w:t>
      </w:r>
      <w:proofErr w:type="gramEnd"/>
      <w:r>
        <w:t>.</w:t>
      </w:r>
    </w:p>
    <w:p w14:paraId="04852111" w14:textId="77777777" w:rsidR="00141363" w:rsidRDefault="009428AC" w:rsidP="00141363">
      <w:pPr>
        <w:pStyle w:val="Bntext"/>
      </w:pPr>
      <w:r>
        <w:t>Ve studii je jen ideové řešení, není</w:t>
      </w:r>
      <w:r w:rsidR="00141363">
        <w:t xml:space="preserve"> řešen vztah k</w:t>
      </w:r>
      <w:r w:rsidR="006C03BE">
        <w:t xml:space="preserve"> inženýrským </w:t>
      </w:r>
      <w:r w:rsidR="00141363">
        <w:t>sítím</w:t>
      </w:r>
      <w:r w:rsidR="00EC142E">
        <w:t xml:space="preserve"> a reálné prostorové nároky</w:t>
      </w:r>
      <w:r w:rsidR="006C03BE">
        <w:t>.</w:t>
      </w:r>
      <w:r w:rsidR="00B11B48">
        <w:t xml:space="preserve"> </w:t>
      </w:r>
    </w:p>
    <w:p w14:paraId="02524B0B"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2A158B83" w14:textId="77777777" w:rsidR="00ED3333" w:rsidRDefault="00141363" w:rsidP="002F650F">
      <w:r>
        <w:t xml:space="preserve">Lze zařadit do PPO bez ovlivnění funkce PPO v případě provedení úpravy námětu. </w:t>
      </w:r>
    </w:p>
    <w:p w14:paraId="1795E202" w14:textId="77777777" w:rsidR="002F650F" w:rsidRDefault="008E208F" w:rsidP="00DA6A67">
      <w:pPr>
        <w:pStyle w:val="NadpisC"/>
      </w:pPr>
      <w:r>
        <w:t>5</w:t>
      </w:r>
      <w:r>
        <w:tab/>
      </w:r>
      <w:r w:rsidR="005B07AF">
        <w:t>V</w:t>
      </w:r>
      <w:r w:rsidR="002F650F" w:rsidRPr="00ED3333">
        <w:t>liv na dosažení požadovaných kapacit PPO</w:t>
      </w:r>
    </w:p>
    <w:p w14:paraId="6C0C20CB" w14:textId="77777777" w:rsidR="00ED3333" w:rsidRDefault="00141363" w:rsidP="00ED3333">
      <w:pPr>
        <w:pStyle w:val="Bntext"/>
      </w:pPr>
      <w:r>
        <w:t>Vliv neutrální.</w:t>
      </w:r>
    </w:p>
    <w:p w14:paraId="2853032F"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13ADEA3C" w14:textId="77777777" w:rsidR="00501C2C" w:rsidRDefault="00951493" w:rsidP="00EC142E">
      <w:pPr>
        <w:pStyle w:val="Bntext"/>
      </w:pPr>
      <w:r w:rsidRPr="009C0EA6">
        <w:t>O</w:t>
      </w:r>
      <w:r w:rsidR="00141363" w:rsidRPr="009C0EA6">
        <w:t xml:space="preserve">dsazení ochranné zídky </w:t>
      </w:r>
      <w:r w:rsidRPr="009C0EA6">
        <w:t xml:space="preserve">dále od břehu </w:t>
      </w:r>
      <w:r w:rsidR="00141363" w:rsidRPr="009C0EA6">
        <w:t xml:space="preserve">v místě pobytových stupňů </w:t>
      </w:r>
      <w:r w:rsidR="00501C2C">
        <w:t>by bylo</w:t>
      </w:r>
      <w:r w:rsidR="00A86248" w:rsidRPr="009C0EA6">
        <w:t xml:space="preserve"> třeba upravit s ohledem na </w:t>
      </w:r>
      <w:r w:rsidR="00501C2C">
        <w:t>proveditelnost</w:t>
      </w:r>
      <w:r w:rsidR="00A86248" w:rsidRPr="009C0EA6">
        <w:t xml:space="preserve"> přeložek inženýrských sítí.</w:t>
      </w:r>
      <w:r w:rsidRPr="009C0EA6">
        <w:t xml:space="preserve"> </w:t>
      </w:r>
      <w:r w:rsidR="00EC142E">
        <w:t>Bylo by nezbytné</w:t>
      </w:r>
      <w:r w:rsidR="006C03BE" w:rsidRPr="009C0EA6">
        <w:t xml:space="preserve"> z</w:t>
      </w:r>
      <w:r w:rsidRPr="009C0EA6">
        <w:t xml:space="preserve">menšit </w:t>
      </w:r>
      <w:r w:rsidR="00EC142E">
        <w:t>prostorový nárok</w:t>
      </w:r>
      <w:r w:rsidRPr="009C0EA6">
        <w:t xml:space="preserve"> odsazené zídky tak, aby v místě domů </w:t>
      </w:r>
      <w:r w:rsidR="00EC142E">
        <w:t xml:space="preserve">byl ponechán </w:t>
      </w:r>
      <w:r w:rsidRPr="009C0EA6">
        <w:t xml:space="preserve">prostor pro inženýrské sítě. </w:t>
      </w:r>
      <w:r w:rsidR="006C03BE" w:rsidRPr="009C0EA6">
        <w:t>Vyvolá potřebu úpravy s</w:t>
      </w:r>
      <w:r w:rsidRPr="009C0EA6">
        <w:t>ouvis</w:t>
      </w:r>
      <w:r w:rsidR="006C03BE" w:rsidRPr="009C0EA6">
        <w:t>ejícího</w:t>
      </w:r>
      <w:r w:rsidRPr="009C0EA6">
        <w:t> opatření B.02 – pobytové stup</w:t>
      </w:r>
      <w:r w:rsidR="006C03BE" w:rsidRPr="009C0EA6">
        <w:t>n</w:t>
      </w:r>
      <w:r w:rsidRPr="009C0EA6">
        <w:t>ě</w:t>
      </w:r>
      <w:r w:rsidR="009C0EA6" w:rsidRPr="009C0EA6">
        <w:t xml:space="preserve"> (zkrácení úseku s pobytovými stupni).</w:t>
      </w:r>
      <w:r w:rsidR="006C03BE" w:rsidRPr="009C0EA6">
        <w:t xml:space="preserve"> </w:t>
      </w:r>
      <w:r w:rsidR="00A156E1" w:rsidRPr="009C0EA6">
        <w:t xml:space="preserve">Námět </w:t>
      </w:r>
      <w:r w:rsidR="00A67CFD">
        <w:t xml:space="preserve">na odsazení ochranné zídky před pobytovými stupni </w:t>
      </w:r>
      <w:r w:rsidR="00A156E1" w:rsidRPr="009C0EA6">
        <w:t xml:space="preserve">je </w:t>
      </w:r>
      <w:r w:rsidR="00141363" w:rsidRPr="009C0EA6">
        <w:t xml:space="preserve">možno </w:t>
      </w:r>
      <w:r w:rsidR="00A67CFD">
        <w:t xml:space="preserve">po úpravách převzít i do řešení </w:t>
      </w:r>
      <w:r w:rsidR="00A67CFD">
        <w:lastRenderedPageBreak/>
        <w:t>s protipovodňovou zídkou dle DUR (</w:t>
      </w:r>
      <w:r w:rsidR="00141363" w:rsidRPr="009C0EA6">
        <w:t xml:space="preserve">bez realizace opěrné zdi </w:t>
      </w:r>
      <w:r w:rsidR="00501C2C">
        <w:t xml:space="preserve">dle pol. </w:t>
      </w:r>
      <w:r w:rsidR="00141363" w:rsidRPr="009C0EA6">
        <w:t>B.01</w:t>
      </w:r>
      <w:r w:rsidR="00A67CFD">
        <w:t>)</w:t>
      </w:r>
      <w:r w:rsidR="00141363" w:rsidRPr="009C0EA6">
        <w:t>.</w:t>
      </w:r>
      <w:r w:rsidR="005C14A8">
        <w:t xml:space="preserve"> Nutno upravit rozsah </w:t>
      </w:r>
      <w:proofErr w:type="spellStart"/>
      <w:r w:rsidR="005C14A8">
        <w:t>odsazané</w:t>
      </w:r>
      <w:proofErr w:type="spellEnd"/>
      <w:r w:rsidR="005C14A8">
        <w:t xml:space="preserve"> zídky dle existujících inženýrských sítí a prověření přeložek sítí navržených v DUR.</w:t>
      </w:r>
    </w:p>
    <w:p w14:paraId="11FFB034" w14:textId="77777777" w:rsidR="009228C3" w:rsidRDefault="009228C3" w:rsidP="00501C2C">
      <w:r>
        <w:t xml:space="preserve">Soutisk viz obr. </w:t>
      </w:r>
    </w:p>
    <w:p w14:paraId="19177B68" w14:textId="77777777" w:rsidR="009228C3" w:rsidRDefault="009228C3" w:rsidP="00501C2C"/>
    <w:p w14:paraId="34E60752" w14:textId="77777777" w:rsidR="00C26F90" w:rsidRDefault="00C26F90" w:rsidP="002F650F">
      <w:r>
        <w:rPr>
          <w:noProof/>
        </w:rPr>
        <w:drawing>
          <wp:inline distT="0" distB="0" distL="0" distR="0" wp14:anchorId="3149E7F3" wp14:editId="7B542692">
            <wp:extent cx="5591175" cy="3050797"/>
            <wp:effectExtent l="0" t="0" r="0" b="0"/>
            <wp:docPr id="2" name="Obrázek 2"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_07_inzenyrske_site.PNG"/>
                    <pic:cNvPicPr/>
                  </pic:nvPicPr>
                  <pic:blipFill>
                    <a:blip r:embed="rId8">
                      <a:extLst>
                        <a:ext uri="{28A0092B-C50C-407E-A947-70E740481C1C}">
                          <a14:useLocalDpi xmlns:a14="http://schemas.microsoft.com/office/drawing/2010/main" val="0"/>
                        </a:ext>
                      </a:extLst>
                    </a:blip>
                    <a:stretch>
                      <a:fillRect/>
                    </a:stretch>
                  </pic:blipFill>
                  <pic:spPr>
                    <a:xfrm>
                      <a:off x="0" y="0"/>
                      <a:ext cx="5604929" cy="3058302"/>
                    </a:xfrm>
                    <a:prstGeom prst="rect">
                      <a:avLst/>
                    </a:prstGeom>
                  </pic:spPr>
                </pic:pic>
              </a:graphicData>
            </a:graphic>
          </wp:inline>
        </w:drawing>
      </w:r>
    </w:p>
    <w:p w14:paraId="77B393A7" w14:textId="77777777" w:rsidR="009228C3" w:rsidRDefault="009228C3" w:rsidP="002F650F"/>
    <w:p w14:paraId="3F3456B8" w14:textId="77777777" w:rsidR="009228C3" w:rsidRDefault="009228C3" w:rsidP="009228C3">
      <w:pPr>
        <w:pStyle w:val="Bntext"/>
      </w:pPr>
      <w:r>
        <w:t xml:space="preserve">Idea o materiálovém řešení trpí stejnými nedostatky jako návrh opěrné zdi B.01. Buď štíhlá úhlová železobetonová zídka nebo masivní zídka z kamenného zdiva nebo </w:t>
      </w:r>
      <w:r w:rsidR="00631FC6">
        <w:t xml:space="preserve">s </w:t>
      </w:r>
      <w:r>
        <w:t xml:space="preserve">kamenným obkladem. Vždy s řádným založením. Priority </w:t>
      </w:r>
      <w:r w:rsidR="00501C2C">
        <w:t>nastavit na základě</w:t>
      </w:r>
      <w:r>
        <w:t xml:space="preserve"> projednání.</w:t>
      </w:r>
    </w:p>
    <w:p w14:paraId="55EF9DCB" w14:textId="77777777" w:rsidR="002F650F" w:rsidRDefault="007A41FB" w:rsidP="00DA6A67">
      <w:pPr>
        <w:pStyle w:val="NadpisC"/>
      </w:pPr>
      <w:r>
        <w:t>7</w:t>
      </w:r>
      <w:r>
        <w:tab/>
      </w:r>
      <w:r w:rsidR="00ED3333">
        <w:t>Z</w:t>
      </w:r>
      <w:r w:rsidR="002F650F">
        <w:t>hodnocení provozních hledisek z pohledu investor</w:t>
      </w:r>
      <w:r w:rsidR="006F36A0">
        <w:t>a PPO</w:t>
      </w:r>
    </w:p>
    <w:p w14:paraId="6485637D" w14:textId="77777777" w:rsidR="00ED3333" w:rsidRDefault="00E97624" w:rsidP="00ED3333">
      <w:pPr>
        <w:pStyle w:val="Bntext"/>
      </w:pPr>
      <w:bookmarkStart w:id="0" w:name="_Hlk34058680"/>
      <w:r>
        <w:t>V n</w:t>
      </w:r>
      <w:r w:rsidR="00F03583">
        <w:t>áro</w:t>
      </w:r>
      <w:r>
        <w:t>cích</w:t>
      </w:r>
      <w:r w:rsidR="00F03583">
        <w:t xml:space="preserve"> na správu a údržbu nejsou rozdíly oproti řešení v</w:t>
      </w:r>
      <w:r>
        <w:t> </w:t>
      </w:r>
      <w:r w:rsidR="00F03583">
        <w:t>DUR</w:t>
      </w:r>
      <w:r>
        <w:t xml:space="preserve"> PPO</w:t>
      </w:r>
      <w:r w:rsidR="00F03583">
        <w:t>.</w:t>
      </w:r>
      <w:r w:rsidR="00951493">
        <w:t xml:space="preserve"> </w:t>
      </w:r>
      <w:bookmarkEnd w:id="0"/>
      <w:r>
        <w:t>Z</w:t>
      </w:r>
      <w:r w:rsidR="00951493">
        <w:t xml:space="preserve">a povodňových stavů </w:t>
      </w:r>
      <w:r>
        <w:t xml:space="preserve">nutno </w:t>
      </w:r>
      <w:r w:rsidR="009C0EA6">
        <w:t>počítat s </w:t>
      </w:r>
      <w:r w:rsidR="00951493">
        <w:t>osazov</w:t>
      </w:r>
      <w:r w:rsidR="009C0EA6">
        <w:t xml:space="preserve">áním </w:t>
      </w:r>
      <w:r w:rsidR="00951493">
        <w:t>mobilní</w:t>
      </w:r>
      <w:r w:rsidR="009C0EA6">
        <w:t>ho</w:t>
      </w:r>
      <w:r w:rsidR="00951493">
        <w:t xml:space="preserve"> hrazení</w:t>
      </w:r>
      <w:r w:rsidR="009228C3">
        <w:t>, což ovšem není podstatný rozdíl oproti původnímu řešení DUR.</w:t>
      </w:r>
      <w:r w:rsidR="003130BF">
        <w:t xml:space="preserve"> Požaduje se závazek města na zajištění manipulace </w:t>
      </w:r>
      <w:r w:rsidR="0097330D">
        <w:t xml:space="preserve">(HZS) </w:t>
      </w:r>
      <w:r w:rsidR="003130BF">
        <w:t>s provizorním hrazením.</w:t>
      </w:r>
    </w:p>
    <w:p w14:paraId="6C469E14" w14:textId="77777777" w:rsidR="002F650F" w:rsidRDefault="007A41FB" w:rsidP="00DA6A67">
      <w:pPr>
        <w:pStyle w:val="NadpisC"/>
      </w:pPr>
      <w:r>
        <w:t>8</w:t>
      </w:r>
      <w:r>
        <w:tab/>
      </w:r>
      <w:r w:rsidR="006F36A0">
        <w:t>S</w:t>
      </w:r>
      <w:r w:rsidR="002F650F">
        <w:t xml:space="preserve">tanovisko </w:t>
      </w:r>
      <w:r w:rsidR="00DA6A67">
        <w:t>investora PPO</w:t>
      </w:r>
    </w:p>
    <w:p w14:paraId="6C2B6624" w14:textId="77777777" w:rsidR="00F03583" w:rsidRDefault="0097330D" w:rsidP="00F03583">
      <w:pPr>
        <w:pStyle w:val="Bntext"/>
      </w:pPr>
      <w:bookmarkStart w:id="1" w:name="_Hlk41980821"/>
      <w:r>
        <w:t>Povodí Odry, státní podnik</w:t>
      </w:r>
      <w:bookmarkEnd w:id="1"/>
      <w:r>
        <w:t xml:space="preserve"> s</w:t>
      </w:r>
      <w:r w:rsidR="00A67CFD">
        <w:t xml:space="preserve">ouhlasí </w:t>
      </w:r>
      <w:r w:rsidR="00F03583">
        <w:t>se začleněním do PPO</w:t>
      </w:r>
      <w:r w:rsidR="00F75EC8">
        <w:t xml:space="preserve"> </w:t>
      </w:r>
      <w:r w:rsidR="005C14A8">
        <w:t xml:space="preserve">za předpokladu provedení úprav námětu </w:t>
      </w:r>
      <w:r w:rsidR="00F75EC8">
        <w:t>(bez realizace</w:t>
      </w:r>
      <w:r w:rsidR="00F03583">
        <w:t> B.01</w:t>
      </w:r>
      <w:r w:rsidR="00F75EC8">
        <w:t>).</w:t>
      </w:r>
      <w:r w:rsidRPr="0097330D">
        <w:t xml:space="preserve"> </w:t>
      </w:r>
      <w:r>
        <w:t>Požaduje se závazek města na zajištění manipulace (HZS) s provizorním hrazením.</w:t>
      </w:r>
    </w:p>
    <w:p w14:paraId="57FA5D1A" w14:textId="77777777" w:rsidR="0097330D" w:rsidRDefault="0097330D" w:rsidP="00F03583">
      <w:pPr>
        <w:pStyle w:val="Bntext"/>
      </w:pPr>
      <w:bookmarkStart w:id="2" w:name="_Hlk41980802"/>
      <w:bookmarkStart w:id="3" w:name="_Hlk41980671"/>
      <w:r>
        <w:t>Z hlediska investorství</w:t>
      </w:r>
      <w:r w:rsidRPr="00B90B01">
        <w:t xml:space="preserve"> </w:t>
      </w:r>
      <w:r w:rsidRPr="00F56DCE">
        <w:rPr>
          <w:b/>
          <w:bCs/>
        </w:rPr>
        <w:t>Typ 1</w:t>
      </w:r>
      <w:r w:rsidRPr="00B90B01">
        <w:t xml:space="preserve"> – součást PPO</w:t>
      </w:r>
      <w:r>
        <w:t xml:space="preserve">. </w:t>
      </w:r>
      <w:bookmarkEnd w:id="2"/>
      <w:bookmarkEnd w:id="3"/>
    </w:p>
    <w:p w14:paraId="3AD2892F" w14:textId="77777777" w:rsidR="002F650F" w:rsidRDefault="006F36A0"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39E5A8A4" w14:textId="77777777" w:rsidR="0097330D" w:rsidRDefault="0097330D" w:rsidP="0097330D">
      <w:pPr>
        <w:pStyle w:val="Bntext"/>
      </w:pPr>
      <w:bookmarkStart w:id="4" w:name="_Hlk41897737"/>
      <w:bookmarkStart w:id="5" w:name="_Hlk33715033"/>
      <w:r>
        <w:t>Námět bude zahrnut do PPO a financován jako jejich součást z prostředků investora PPO.</w:t>
      </w:r>
      <w:bookmarkEnd w:id="4"/>
      <w:r>
        <w:t xml:space="preserve"> </w:t>
      </w:r>
    </w:p>
    <w:p w14:paraId="3A8369E1" w14:textId="77777777" w:rsidR="005C14A8" w:rsidRDefault="005C14A8" w:rsidP="005C14A8">
      <w:pPr>
        <w:pStyle w:val="Bntext"/>
      </w:pPr>
      <w:r>
        <w:t>V rámci DUR PPO je v předmětném úseku navržena v </w:t>
      </w:r>
      <w:proofErr w:type="gramStart"/>
      <w:r>
        <w:t xml:space="preserve">rámci  </w:t>
      </w:r>
      <w:r w:rsidRPr="00D33C0B">
        <w:t>SO</w:t>
      </w:r>
      <w:proofErr w:type="gramEnd"/>
      <w:r w:rsidRPr="00D33C0B">
        <w:t xml:space="preserve"> </w:t>
      </w:r>
      <w:r>
        <w:t>090.13.1 Levobřežní ochranná zídka v km 0,000 – 0,220. Návrh DUR PPO je možno částečně přizpůsobit námětu studie.</w:t>
      </w:r>
    </w:p>
    <w:p w14:paraId="5E81AF75" w14:textId="77777777" w:rsidR="005C14A8" w:rsidRDefault="005C14A8" w:rsidP="005C14A8">
      <w:pPr>
        <w:pStyle w:val="Bntext"/>
      </w:pPr>
      <w:r>
        <w:t xml:space="preserve">Vyžaduje přepracování příslušné části DUR. </w:t>
      </w:r>
    </w:p>
    <w:bookmarkEnd w:id="5"/>
    <w:p w14:paraId="303509BA" w14:textId="77777777" w:rsidR="00791CBB" w:rsidRDefault="00791CBB" w:rsidP="00951493">
      <w:pPr>
        <w:pStyle w:val="Bntext"/>
        <w:rPr>
          <w:color w:val="FF0000"/>
        </w:rPr>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6C5969" w:rsidRPr="00ED5BBD" w14:paraId="38EDCABF" w14:textId="77777777" w:rsidTr="00BC25DC">
        <w:tc>
          <w:tcPr>
            <w:tcW w:w="9062" w:type="dxa"/>
            <w:shd w:val="clear" w:color="auto" w:fill="F2F2F2" w:themeFill="background1" w:themeFillShade="F2"/>
            <w:hideMark/>
          </w:tcPr>
          <w:p w14:paraId="6BE12FA5" w14:textId="77777777" w:rsidR="006C5969" w:rsidRPr="00ED5BBD" w:rsidRDefault="006C5969" w:rsidP="00BC25DC">
            <w:pPr>
              <w:rPr>
                <w:rFonts w:cs="Arial"/>
                <w:b/>
                <w:bCs/>
                <w:color w:val="FF0000"/>
                <w:szCs w:val="20"/>
              </w:rPr>
            </w:pPr>
            <w:r w:rsidRPr="00ED5BBD">
              <w:rPr>
                <w:rFonts w:cs="Arial"/>
                <w:b/>
                <w:bCs/>
                <w:color w:val="FF0000"/>
                <w:sz w:val="24"/>
              </w:rPr>
              <w:t>ZÁVĚR</w:t>
            </w:r>
          </w:p>
        </w:tc>
      </w:tr>
      <w:tr w:rsidR="006C5969" w:rsidRPr="00ED5BBD" w14:paraId="2654114D" w14:textId="77777777" w:rsidTr="00BC25DC">
        <w:tc>
          <w:tcPr>
            <w:tcW w:w="9062" w:type="dxa"/>
            <w:hideMark/>
          </w:tcPr>
          <w:p w14:paraId="1587DA54" w14:textId="361E6F42" w:rsidR="006C5969" w:rsidRDefault="006C5969" w:rsidP="00BC25DC">
            <w:pPr>
              <w:pStyle w:val="Bntext"/>
              <w:rPr>
                <w:rFonts w:cs="Arial"/>
                <w:color w:val="FF0000"/>
                <w:szCs w:val="20"/>
              </w:rPr>
            </w:pPr>
            <w:r>
              <w:rPr>
                <w:rFonts w:cs="Arial"/>
                <w:color w:val="FF0000"/>
                <w:szCs w:val="20"/>
              </w:rPr>
              <w:t>viz B.01</w:t>
            </w:r>
          </w:p>
          <w:p w14:paraId="17CF934C" w14:textId="77777777" w:rsidR="006C5969" w:rsidRPr="00ED5BBD" w:rsidRDefault="006C5969" w:rsidP="00BC25DC">
            <w:pPr>
              <w:pStyle w:val="Bntext"/>
              <w:rPr>
                <w:rFonts w:cs="Arial"/>
                <w:color w:val="FF0000"/>
                <w:szCs w:val="20"/>
              </w:rPr>
            </w:pPr>
          </w:p>
          <w:p w14:paraId="115288BA" w14:textId="77777777" w:rsidR="006C5969" w:rsidRPr="00ED5BBD" w:rsidRDefault="006C5969" w:rsidP="00BC25DC">
            <w:pPr>
              <w:rPr>
                <w:rFonts w:cs="Arial"/>
                <w:color w:val="FF0000"/>
                <w:szCs w:val="20"/>
              </w:rPr>
            </w:pPr>
          </w:p>
        </w:tc>
      </w:tr>
      <w:tr w:rsidR="006C5969" w:rsidRPr="00ED5BBD" w14:paraId="67C15ED2" w14:textId="77777777" w:rsidTr="00BC25DC">
        <w:tc>
          <w:tcPr>
            <w:tcW w:w="9062" w:type="dxa"/>
            <w:shd w:val="clear" w:color="auto" w:fill="auto"/>
          </w:tcPr>
          <w:p w14:paraId="022886A0" w14:textId="77777777" w:rsidR="006C5969" w:rsidRPr="00ED5BBD" w:rsidRDefault="006C5969"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w:t>
            </w:r>
            <w:r w:rsidRPr="00ED5BBD">
              <w:rPr>
                <w:rFonts w:cs="Arial"/>
                <w:i/>
                <w:iCs/>
                <w:color w:val="FF0000"/>
                <w:szCs w:val="20"/>
              </w:rPr>
              <w:lastRenderedPageBreak/>
              <w:t xml:space="preserve">„Krnov: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tbl>
    <w:p w14:paraId="7DC2DF76" w14:textId="77777777" w:rsidR="00791CBB" w:rsidRPr="007A16ED" w:rsidRDefault="00791CBB" w:rsidP="00951493">
      <w:pPr>
        <w:pStyle w:val="Bntext"/>
        <w:rPr>
          <w:color w:val="FF0000"/>
        </w:rPr>
      </w:pPr>
    </w:p>
    <w:p w14:paraId="3803A93B" w14:textId="77777777" w:rsidR="00951493" w:rsidRPr="00951493" w:rsidRDefault="00951493" w:rsidP="00951493">
      <w:pPr>
        <w:pStyle w:val="Bntext"/>
      </w:pPr>
    </w:p>
    <w:sectPr w:rsidR="00951493" w:rsidRPr="00951493">
      <w:headerReference w:type="default" r:id="rId9"/>
      <w:footerReference w:type="default" r:id="rId10"/>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79BB6" w14:textId="77777777" w:rsidR="00A60544" w:rsidRDefault="00A60544">
      <w:r>
        <w:separator/>
      </w:r>
    </w:p>
  </w:endnote>
  <w:endnote w:type="continuationSeparator" w:id="0">
    <w:p w14:paraId="674B7592" w14:textId="77777777" w:rsidR="00A60544" w:rsidRDefault="00A60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128A6573" w14:textId="77777777">
      <w:trPr>
        <w:cantSplit/>
      </w:trPr>
      <w:tc>
        <w:tcPr>
          <w:tcW w:w="9210" w:type="dxa"/>
          <w:gridSpan w:val="2"/>
          <w:tcBorders>
            <w:bottom w:val="single" w:sz="4" w:space="0" w:color="auto"/>
          </w:tcBorders>
        </w:tcPr>
        <w:p w14:paraId="20FC8516"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501E46B8" w14:textId="77777777">
      <w:tc>
        <w:tcPr>
          <w:tcW w:w="4605" w:type="dxa"/>
          <w:tcBorders>
            <w:top w:val="single" w:sz="4" w:space="0" w:color="auto"/>
          </w:tcBorders>
        </w:tcPr>
        <w:p w14:paraId="6262B90D" w14:textId="3A3AC262" w:rsidR="00BE0FEB" w:rsidRDefault="00F945DB">
          <w:pPr>
            <w:pStyle w:val="Zpat"/>
          </w:pPr>
          <w:fldSimple w:instr=" FILENAME  \* MERGEFORMAT ">
            <w:r w:rsidR="006C5969">
              <w:rPr>
                <w:noProof/>
              </w:rPr>
              <w:t>B_07+zaver 08-2020.docx</w:t>
            </w:r>
          </w:fldSimple>
        </w:p>
      </w:tc>
      <w:tc>
        <w:tcPr>
          <w:tcW w:w="4605" w:type="dxa"/>
          <w:tcBorders>
            <w:top w:val="single" w:sz="4" w:space="0" w:color="auto"/>
          </w:tcBorders>
          <w:vAlign w:val="bottom"/>
        </w:tcPr>
        <w:p w14:paraId="0062247C"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348BD7FD"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7F47F" w14:textId="77777777" w:rsidR="00A60544" w:rsidRDefault="00A60544">
      <w:r>
        <w:separator/>
      </w:r>
    </w:p>
  </w:footnote>
  <w:footnote w:type="continuationSeparator" w:id="0">
    <w:p w14:paraId="42CF3812" w14:textId="77777777" w:rsidR="00A60544" w:rsidRDefault="00A60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5250262D" w14:textId="77777777" w:rsidTr="002F650F">
      <w:tc>
        <w:tcPr>
          <w:tcW w:w="4677" w:type="dxa"/>
          <w:tcBorders>
            <w:bottom w:val="single" w:sz="4" w:space="0" w:color="auto"/>
          </w:tcBorders>
        </w:tcPr>
        <w:p w14:paraId="0C813E59" w14:textId="77777777" w:rsidR="00BC0753" w:rsidRDefault="00101B48" w:rsidP="00BC0753">
          <w:pPr>
            <w:pStyle w:val="Zhlav"/>
          </w:pPr>
          <w:r>
            <w:t>List opatření</w:t>
          </w:r>
        </w:p>
      </w:tc>
      <w:tc>
        <w:tcPr>
          <w:tcW w:w="4605" w:type="dxa"/>
          <w:tcBorders>
            <w:bottom w:val="single" w:sz="4" w:space="0" w:color="auto"/>
          </w:tcBorders>
          <w:vAlign w:val="bottom"/>
        </w:tcPr>
        <w:p w14:paraId="5541A47D"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02B23A9C" w14:textId="77777777" w:rsidTr="002F650F">
      <w:trPr>
        <w:cantSplit/>
      </w:trPr>
      <w:tc>
        <w:tcPr>
          <w:tcW w:w="9282" w:type="dxa"/>
          <w:gridSpan w:val="2"/>
          <w:tcBorders>
            <w:top w:val="single" w:sz="4" w:space="0" w:color="auto"/>
            <w:bottom w:val="nil"/>
          </w:tcBorders>
        </w:tcPr>
        <w:p w14:paraId="67D57339" w14:textId="77777777" w:rsidR="00BE0FEB" w:rsidRDefault="00EC142E">
          <w:pPr>
            <w:pStyle w:val="Zhlav"/>
            <w:jc w:val="right"/>
          </w:pPr>
          <w:proofErr w:type="gramStart"/>
          <w:r>
            <w:t>020044A</w:t>
          </w:r>
          <w:proofErr w:type="gramEnd"/>
        </w:p>
      </w:tc>
    </w:tr>
  </w:tbl>
  <w:p w14:paraId="0A7F318A"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118729E6"/>
    <w:multiLevelType w:val="hybridMultilevel"/>
    <w:tmpl w:val="3BA0BA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8"/>
  </w:num>
  <w:num w:numId="5">
    <w:abstractNumId w:val="8"/>
  </w:num>
  <w:num w:numId="6">
    <w:abstractNumId w:val="8"/>
  </w:num>
  <w:num w:numId="7">
    <w:abstractNumId w:val="8"/>
  </w:num>
  <w:num w:numId="8">
    <w:abstractNumId w:val="5"/>
  </w:num>
  <w:num w:numId="9">
    <w:abstractNumId w:val="5"/>
  </w:num>
  <w:num w:numId="10">
    <w:abstractNumId w:val="3"/>
  </w:num>
  <w:num w:numId="11">
    <w:abstractNumId w:val="3"/>
  </w:num>
  <w:num w:numId="12">
    <w:abstractNumId w:val="2"/>
  </w:num>
  <w:num w:numId="13">
    <w:abstractNumId w:val="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B4880"/>
    <w:rsid w:val="000C2457"/>
    <w:rsid w:val="000E04A0"/>
    <w:rsid w:val="00101B48"/>
    <w:rsid w:val="00141363"/>
    <w:rsid w:val="001D6AFC"/>
    <w:rsid w:val="001E1F3D"/>
    <w:rsid w:val="00222AFA"/>
    <w:rsid w:val="00235460"/>
    <w:rsid w:val="002F08DA"/>
    <w:rsid w:val="002F650F"/>
    <w:rsid w:val="003130BF"/>
    <w:rsid w:val="003F5A51"/>
    <w:rsid w:val="00493812"/>
    <w:rsid w:val="00501C2C"/>
    <w:rsid w:val="005244B1"/>
    <w:rsid w:val="005B07AF"/>
    <w:rsid w:val="005C14A8"/>
    <w:rsid w:val="005E182B"/>
    <w:rsid w:val="00631FC6"/>
    <w:rsid w:val="00693F6B"/>
    <w:rsid w:val="006C03BE"/>
    <w:rsid w:val="006C5969"/>
    <w:rsid w:val="006F36A0"/>
    <w:rsid w:val="00715537"/>
    <w:rsid w:val="00747A32"/>
    <w:rsid w:val="00791CBB"/>
    <w:rsid w:val="007A41FB"/>
    <w:rsid w:val="008534B0"/>
    <w:rsid w:val="008E208F"/>
    <w:rsid w:val="009228C3"/>
    <w:rsid w:val="009428AC"/>
    <w:rsid w:val="00947DE4"/>
    <w:rsid w:val="00951493"/>
    <w:rsid w:val="0097330D"/>
    <w:rsid w:val="009B4603"/>
    <w:rsid w:val="009C0EA6"/>
    <w:rsid w:val="00A156E1"/>
    <w:rsid w:val="00A20CAF"/>
    <w:rsid w:val="00A60544"/>
    <w:rsid w:val="00A67CFD"/>
    <w:rsid w:val="00A86248"/>
    <w:rsid w:val="00AB1BD3"/>
    <w:rsid w:val="00B11B48"/>
    <w:rsid w:val="00B50DEA"/>
    <w:rsid w:val="00BC0753"/>
    <w:rsid w:val="00BD23D3"/>
    <w:rsid w:val="00BE0FEB"/>
    <w:rsid w:val="00C26F90"/>
    <w:rsid w:val="00DA6A67"/>
    <w:rsid w:val="00DC20BD"/>
    <w:rsid w:val="00DD256E"/>
    <w:rsid w:val="00E25109"/>
    <w:rsid w:val="00E63454"/>
    <w:rsid w:val="00E97624"/>
    <w:rsid w:val="00EC142E"/>
    <w:rsid w:val="00ED3333"/>
    <w:rsid w:val="00F03583"/>
    <w:rsid w:val="00F75EC8"/>
    <w:rsid w:val="00F945DB"/>
    <w:rsid w:val="00FF1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7EFE29"/>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A67CFD"/>
    <w:rPr>
      <w:rFonts w:ascii="Segoe UI" w:hAnsi="Segoe UI" w:cs="Segoe UI"/>
      <w:sz w:val="18"/>
      <w:szCs w:val="18"/>
    </w:rPr>
  </w:style>
  <w:style w:type="character" w:customStyle="1" w:styleId="TextbublinyChar">
    <w:name w:val="Text bubliny Char"/>
    <w:basedOn w:val="Standardnpsmoodstavce"/>
    <w:link w:val="Textbubliny"/>
    <w:rsid w:val="00A67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18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3</Pages>
  <Words>514</Words>
  <Characters>3035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37</cp:revision>
  <cp:lastPrinted>1900-12-31T23:00:00Z</cp:lastPrinted>
  <dcterms:created xsi:type="dcterms:W3CDTF">2020-02-20T08:46:00Z</dcterms:created>
  <dcterms:modified xsi:type="dcterms:W3CDTF">2020-08-17T15:23:00Z</dcterms:modified>
</cp:coreProperties>
</file>