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384"/>
        <w:gridCol w:w="7826"/>
      </w:tblGrid>
      <w:tr w:rsidR="00B20EC6" w:rsidRPr="00ED3333" w14:paraId="1C36D3AC" w14:textId="77777777" w:rsidTr="00DA6A67">
        <w:tc>
          <w:tcPr>
            <w:tcW w:w="1384" w:type="dxa"/>
            <w:shd w:val="clear" w:color="auto" w:fill="D9D9D9" w:themeFill="background1" w:themeFillShade="D9"/>
            <w:vAlign w:val="bottom"/>
          </w:tcPr>
          <w:p w14:paraId="28A85DD0" w14:textId="77777777" w:rsidR="00ED3333" w:rsidRPr="00ED3333" w:rsidRDefault="003E5B29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F</w:t>
            </w:r>
            <w:r w:rsidR="00ED3333" w:rsidRPr="00ED3333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>0</w:t>
            </w:r>
            <w:r w:rsidR="00623B83"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826" w:type="dxa"/>
            <w:shd w:val="clear" w:color="auto" w:fill="D9D9D9" w:themeFill="background1" w:themeFillShade="D9"/>
            <w:vAlign w:val="bottom"/>
          </w:tcPr>
          <w:p w14:paraId="5E23BDD7" w14:textId="77777777" w:rsidR="00ED3333" w:rsidRPr="00ED3333" w:rsidRDefault="00623B83" w:rsidP="00ED333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Promenáda mezi kinem Mír a mostem ČSL Armády</w:t>
            </w:r>
          </w:p>
        </w:tc>
      </w:tr>
      <w:tr w:rsidR="002F650F" w14:paraId="71E5680F" w14:textId="77777777" w:rsidTr="002F650F">
        <w:tc>
          <w:tcPr>
            <w:tcW w:w="1384" w:type="dxa"/>
          </w:tcPr>
          <w:p w14:paraId="7E633CE8" w14:textId="77777777" w:rsidR="002F650F" w:rsidRDefault="00ED3333" w:rsidP="002F650F">
            <w:r>
              <w:t>Úsek</w:t>
            </w:r>
          </w:p>
        </w:tc>
        <w:tc>
          <w:tcPr>
            <w:tcW w:w="7826" w:type="dxa"/>
          </w:tcPr>
          <w:tbl>
            <w:tblPr>
              <w:tblStyle w:val="Mkatabulky"/>
              <w:tblW w:w="0" w:type="auto"/>
              <w:tblLook w:val="04A0" w:firstRow="1" w:lastRow="0" w:firstColumn="1" w:lastColumn="0" w:noHBand="0" w:noVBand="1"/>
            </w:tblPr>
            <w:tblGrid>
              <w:gridCol w:w="7600"/>
            </w:tblGrid>
            <w:tr w:rsidR="00011A09" w14:paraId="53215550" w14:textId="77777777" w:rsidTr="0082301A">
              <w:tc>
                <w:tcPr>
                  <w:tcW w:w="7826" w:type="dxa"/>
                </w:tcPr>
                <w:p w14:paraId="40247ECD" w14:textId="77777777" w:rsidR="00011A09" w:rsidRDefault="003E5B29" w:rsidP="00011A09">
                  <w:r>
                    <w:t>F</w:t>
                  </w:r>
                  <w:r w:rsidR="00011A09">
                    <w:t xml:space="preserve"> (</w:t>
                  </w:r>
                  <w:r>
                    <w:t>park a promenáda</w:t>
                  </w:r>
                  <w:r w:rsidR="00011A09">
                    <w:t>)</w:t>
                  </w:r>
                </w:p>
              </w:tc>
            </w:tr>
          </w:tbl>
          <w:p w14:paraId="40D2CBE8" w14:textId="77777777" w:rsidR="002F650F" w:rsidRDefault="002F650F" w:rsidP="002F650F"/>
        </w:tc>
      </w:tr>
    </w:tbl>
    <w:p w14:paraId="08D5ED0E" w14:textId="77777777" w:rsidR="00BE0FEB" w:rsidRDefault="00BE0FEB">
      <w:pPr>
        <w:pStyle w:val="Bntext"/>
      </w:pPr>
    </w:p>
    <w:p w14:paraId="11F3F141" w14:textId="77777777" w:rsidR="002F650F" w:rsidRDefault="008E208F" w:rsidP="00DA6A67">
      <w:pPr>
        <w:pStyle w:val="NadpisC"/>
      </w:pPr>
      <w:r>
        <w:t>1</w:t>
      </w:r>
      <w:r>
        <w:tab/>
      </w:r>
      <w:r w:rsidR="002F650F">
        <w:t>Popis námětu dle Studie</w:t>
      </w:r>
    </w:p>
    <w:p w14:paraId="567B02CF" w14:textId="77777777" w:rsidR="00C4482C" w:rsidRDefault="00A56EE2" w:rsidP="00A56EE2">
      <w:pPr>
        <w:pStyle w:val="NadpisC"/>
        <w:rPr>
          <w:b w:val="0"/>
          <w:i/>
          <w:iCs/>
          <w:kern w:val="0"/>
          <w:sz w:val="20"/>
        </w:rPr>
      </w:pPr>
      <w:r w:rsidRPr="00A56EE2">
        <w:rPr>
          <w:b w:val="0"/>
          <w:i/>
          <w:iCs/>
          <w:kern w:val="0"/>
          <w:sz w:val="20"/>
        </w:rPr>
        <w:t xml:space="preserve">Promenáda svým charakterem a řešením navazuje na již stávající promenádu u řeky, pod jezem (viz. F.01). Promenáda je navržena od prostoru u jezu až po most Čsl. Armády. Řešení přináší do této části města městský prvek s výraznou společenskou funkcí. Liniově tento prostor navazuje na pobytový prostor u kina Mír a prostor náměstí Míru, za mostem Čsl. Armády pak promenáda volně pokračuje po PB, kde je pás keřů a stromů. Plocha za hranou je pochozí mlatová, následuje plocha travnatá s osázenými stromy (stromořadí), následuje cyklostezka, popř. komunikace (prostor za kinem Mír po mlýnský náhon). V prostoru promenády je umístěn městský mobiliář (lavičky, koše, stojany na kola apod.), veřejné osvětlení apod. V místech, kde do promenády ústí lávky, jsou vynechány stromy a místo je řešeno v koordinaci s návrhem lávek. Součástí návrhu promenády je opěrná zeď. Opěrná stěna plní ochrannou a estetickou funkci, dává místu jasný řád, charakter a společenskou funkcí. Funkce protipovodňové ochrany – horní úroveň stěny (koruna) – vychází z požadavků protipovodňové ochrany. Materiál stěny navazuje na řešení stávajících opěrných stěn v tomto úseku, resp. kámen (řádkové nebo tzv. kyklopské zdivo), horní hrana stěny je ukončena kamennou deskou, popř. cihelnou korunou. Pokud by došlo ke snížení horní úrovně stěny, aniž by došlo k narušení protipovodňové ochrany, je zde navrženo zábradlí. Typ zábradlí bude identický v celém řešeném úseku.  </w:t>
      </w:r>
    </w:p>
    <w:p w14:paraId="4827A1E1" w14:textId="77777777" w:rsidR="00AC6A8A" w:rsidRDefault="00AC6A8A" w:rsidP="00A56EE2">
      <w:pPr>
        <w:pStyle w:val="NadpisC"/>
      </w:pPr>
      <w:r w:rsidRPr="00AC6A8A">
        <w:rPr>
          <w:b w:val="0"/>
          <w:i/>
          <w:iCs/>
          <w:kern w:val="0"/>
          <w:sz w:val="20"/>
        </w:rPr>
        <w:t xml:space="preserve"> </w:t>
      </w:r>
      <w:r w:rsidR="008E208F">
        <w:t>2</w:t>
      </w:r>
      <w:r w:rsidR="008E208F">
        <w:tab/>
      </w:r>
      <w:r w:rsidR="002F650F">
        <w:t>Umístění</w:t>
      </w:r>
    </w:p>
    <w:p w14:paraId="337A170C" w14:textId="77777777" w:rsidR="001526A5" w:rsidRPr="001526A5" w:rsidRDefault="00966A94" w:rsidP="001526A5">
      <w:pPr>
        <w:pStyle w:val="Bn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32AC9A" wp14:editId="0C145A0E">
                <wp:simplePos x="0" y="0"/>
                <wp:positionH relativeFrom="column">
                  <wp:posOffset>3772510</wp:posOffset>
                </wp:positionH>
                <wp:positionV relativeFrom="paragraph">
                  <wp:posOffset>797007</wp:posOffset>
                </wp:positionV>
                <wp:extent cx="1692185" cy="938151"/>
                <wp:effectExtent l="0" t="0" r="22860" b="14605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92185" cy="938151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CC00FF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323A182" id="Ovál 1" o:spid="_x0000_s1026" style="position:absolute;margin-left:297.05pt;margin-top:62.75pt;width:133.25pt;height:7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" filled="f" strokecolor="#c0f" strokeweight="2pt"/>
            </w:pict>
          </mc:Fallback>
        </mc:AlternateContent>
      </w:r>
      <w:r w:rsidR="001526A5">
        <w:rPr>
          <w:noProof/>
        </w:rPr>
        <w:drawing>
          <wp:inline distT="0" distB="0" distL="0" distR="0" wp14:anchorId="03CF70DB" wp14:editId="482923A7">
            <wp:extent cx="5759450" cy="1713230"/>
            <wp:effectExtent l="0" t="0" r="0" b="127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F_F2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713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2E6D2" w14:textId="77777777" w:rsidR="003B4D9D" w:rsidRDefault="003B4D9D" w:rsidP="003B4D9D">
      <w:pPr>
        <w:pStyle w:val="Bntext"/>
      </w:pPr>
      <w:r w:rsidRPr="009A5019">
        <w:t xml:space="preserve">Námět v souladu s ÚP – koridory </w:t>
      </w:r>
      <w:r>
        <w:t>vodní a vodohospodářské – KW-O39 (přípustné využití pro stavby dopravní a technické infrastruktury), plochy zeleně ostatní a specifické – ZX (přípustné umístění dopravní infrastruktury nezbytné k zajištění dopravní obsluhy plochy).</w:t>
      </w:r>
    </w:p>
    <w:p w14:paraId="4EEE00B9" w14:textId="77777777" w:rsidR="003B4D9D" w:rsidRDefault="003B4D9D" w:rsidP="003B4D9D">
      <w:pPr>
        <w:pStyle w:val="Bntext"/>
      </w:pPr>
      <w:r>
        <w:t>Zábory, majetkoprávní vypořádání – pozemek PO, pozemek Města Krnova</w:t>
      </w:r>
    </w:p>
    <w:p w14:paraId="1B9E8B8E" w14:textId="77777777" w:rsidR="00235460" w:rsidRPr="00ED3333" w:rsidRDefault="003B4D9D" w:rsidP="003B4D9D">
      <w:pPr>
        <w:pStyle w:val="Bntext"/>
      </w:pPr>
      <w:r>
        <w:t xml:space="preserve">Kolize s infrastrukturou – </w:t>
      </w:r>
      <w:r w:rsidR="003F47E4">
        <w:t>ANO, křížení s</w:t>
      </w:r>
      <w:r w:rsidR="00A979F6">
        <w:t> objekt</w:t>
      </w:r>
      <w:r w:rsidR="00C067F2">
        <w:t>em</w:t>
      </w:r>
      <w:r w:rsidR="00A979F6">
        <w:t xml:space="preserve"> vyústění </w:t>
      </w:r>
      <w:r w:rsidR="003F47E4">
        <w:t>kanalizac</w:t>
      </w:r>
      <w:r w:rsidR="00C067F2">
        <w:t>e</w:t>
      </w:r>
      <w:r w:rsidR="003F47E4">
        <w:t xml:space="preserve"> DN 1200</w:t>
      </w:r>
      <w:r w:rsidR="00C067F2">
        <w:t>, křížení s objektem vyústění mlýnského náhonu</w:t>
      </w:r>
    </w:p>
    <w:p w14:paraId="2C5C91F7" w14:textId="77777777" w:rsidR="002F650F" w:rsidRDefault="008E208F" w:rsidP="003322E8">
      <w:pPr>
        <w:pStyle w:val="NadpisC"/>
        <w:tabs>
          <w:tab w:val="left" w:pos="708"/>
          <w:tab w:val="left" w:pos="1416"/>
          <w:tab w:val="left" w:pos="7073"/>
        </w:tabs>
      </w:pPr>
      <w:r>
        <w:t>3</w:t>
      </w:r>
      <w:r>
        <w:tab/>
      </w:r>
      <w:r w:rsidR="00235460">
        <w:t>Komentář</w:t>
      </w:r>
      <w:r w:rsidR="003322E8">
        <w:tab/>
      </w:r>
    </w:p>
    <w:p w14:paraId="7658803A" w14:textId="77777777" w:rsidR="00CA635E" w:rsidRDefault="00CA635E" w:rsidP="00CA635E">
      <w:pPr>
        <w:pStyle w:val="Bntext"/>
      </w:pPr>
      <w:bookmarkStart w:id="0" w:name="_Hlk34636033"/>
      <w:r>
        <w:t>Řešení je uvedeno na přílohách studie: zpráva A str. 37, situace B.04f, příčné řezy B.05j, B.05k, B.</w:t>
      </w:r>
      <w:proofErr w:type="gramStart"/>
      <w:r>
        <w:t>05l</w:t>
      </w:r>
      <w:proofErr w:type="gramEnd"/>
      <w:r>
        <w:t xml:space="preserve"> a B.05m.</w:t>
      </w:r>
    </w:p>
    <w:p w14:paraId="3C3C268F" w14:textId="77777777" w:rsidR="00CA635E" w:rsidRPr="00235460" w:rsidRDefault="00CA635E" w:rsidP="00CA635E">
      <w:pPr>
        <w:pStyle w:val="Bntext"/>
      </w:pPr>
      <w:r>
        <w:t xml:space="preserve">Ve </w:t>
      </w:r>
      <w:r w:rsidRPr="000156FB">
        <w:rPr>
          <w:i/>
          <w:iCs/>
        </w:rPr>
        <w:t>Studii</w:t>
      </w:r>
      <w:r>
        <w:t xml:space="preserve"> jen ideové řešení.</w:t>
      </w:r>
      <w:bookmarkEnd w:id="0"/>
      <w:r w:rsidR="00D656F1">
        <w:t xml:space="preserve"> </w:t>
      </w:r>
      <w:bookmarkStart w:id="1" w:name="_Hlk35011639"/>
      <w:r w:rsidR="00D656F1">
        <w:t>Souvisí s námětem F.10</w:t>
      </w:r>
    </w:p>
    <w:bookmarkEnd w:id="1"/>
    <w:p w14:paraId="6AA00E98" w14:textId="77777777" w:rsidR="002F650F" w:rsidRDefault="008E208F" w:rsidP="00DA6A67">
      <w:pPr>
        <w:pStyle w:val="NadpisC"/>
      </w:pPr>
      <w:r>
        <w:t>4</w:t>
      </w:r>
      <w:r>
        <w:tab/>
      </w:r>
      <w:r w:rsidR="002F650F">
        <w:t>Hodnocení slučitelnosti námětů s koncepcí PPO</w:t>
      </w:r>
      <w:r w:rsidR="002F08DA" w:rsidRPr="002F08DA">
        <w:t xml:space="preserve"> </w:t>
      </w:r>
      <w:r w:rsidR="002F08DA">
        <w:t>a funkčnosti</w:t>
      </w:r>
    </w:p>
    <w:p w14:paraId="195CC479" w14:textId="77777777" w:rsidR="00521A41" w:rsidRPr="008B4686" w:rsidRDefault="00521A41" w:rsidP="00521A41">
      <w:r>
        <w:t xml:space="preserve">Nelze zrealizovat bez ovlivnění </w:t>
      </w:r>
      <w:r w:rsidRPr="008B4686">
        <w:t xml:space="preserve">funkce PPO. </w:t>
      </w:r>
      <w:r w:rsidR="0096156C">
        <w:t>Navrhovaná o</w:t>
      </w:r>
      <w:r w:rsidR="004E29EE">
        <w:t xml:space="preserve">pěrná </w:t>
      </w:r>
      <w:r w:rsidR="00D656F1">
        <w:t xml:space="preserve">zeď </w:t>
      </w:r>
      <w:r w:rsidR="0088527E">
        <w:t>zasahuje do</w:t>
      </w:r>
      <w:r w:rsidR="0096156C">
        <w:t xml:space="preserve"> stávající</w:t>
      </w:r>
      <w:r w:rsidR="0088527E">
        <w:t>ho</w:t>
      </w:r>
      <w:r w:rsidR="0096156C">
        <w:t xml:space="preserve"> průtočn</w:t>
      </w:r>
      <w:r w:rsidR="0088527E">
        <w:t>ého</w:t>
      </w:r>
      <w:r w:rsidR="0096156C">
        <w:t xml:space="preserve"> profil</w:t>
      </w:r>
      <w:r w:rsidR="0088527E">
        <w:t xml:space="preserve">u, </w:t>
      </w:r>
      <w:r w:rsidR="00D656F1">
        <w:t xml:space="preserve">omezení </w:t>
      </w:r>
      <w:r w:rsidR="00930735">
        <w:t xml:space="preserve">průtočného </w:t>
      </w:r>
      <w:r w:rsidR="00437A4C">
        <w:t xml:space="preserve">profilu </w:t>
      </w:r>
      <w:r w:rsidR="00930735">
        <w:t>by bylo možno</w:t>
      </w:r>
      <w:r w:rsidR="00FB1423">
        <w:t xml:space="preserve"> </w:t>
      </w:r>
      <w:r w:rsidR="00FC7381">
        <w:t xml:space="preserve">kompenzovat </w:t>
      </w:r>
      <w:r w:rsidR="00FB1423">
        <w:t>úpravami v parku</w:t>
      </w:r>
      <w:r w:rsidR="0088527E">
        <w:t>.</w:t>
      </w:r>
    </w:p>
    <w:p w14:paraId="16EA14F9" w14:textId="77777777" w:rsidR="00521A41" w:rsidRDefault="00521A41" w:rsidP="00521A41">
      <w:pPr>
        <w:pStyle w:val="Bntext"/>
      </w:pPr>
      <w:r>
        <w:t xml:space="preserve">Nábřežní opěrná zeď výšky cca 3,0 m obložená kamenem představuje podstatné zvýšení nákladů oproti řešení v DUR s protipovodňovou zídkou. </w:t>
      </w:r>
    </w:p>
    <w:p w14:paraId="2D336515" w14:textId="77777777" w:rsidR="00ED3333" w:rsidRDefault="004E29EE" w:rsidP="002F650F">
      <w:r w:rsidRPr="009E64A9">
        <w:lastRenderedPageBreak/>
        <w:t>Námět by vyžadoval přepracování technické koncepce</w:t>
      </w:r>
      <w:r>
        <w:t xml:space="preserve"> a </w:t>
      </w:r>
      <w:r w:rsidRPr="009E64A9">
        <w:t xml:space="preserve">statické funkce </w:t>
      </w:r>
      <w:r w:rsidR="00007928">
        <w:t xml:space="preserve">protipovodňové </w:t>
      </w:r>
      <w:r w:rsidRPr="009E64A9">
        <w:t>stěny</w:t>
      </w:r>
      <w:r>
        <w:t xml:space="preserve">. </w:t>
      </w:r>
      <w:r w:rsidR="0096156C">
        <w:t>Z</w:t>
      </w:r>
      <w:r>
        <w:t>akládání</w:t>
      </w:r>
      <w:r w:rsidR="0096156C">
        <w:t xml:space="preserve"> opěrné stěny</w:t>
      </w:r>
      <w:r>
        <w:t xml:space="preserve"> v hluboké stavební jámě (</w:t>
      </w:r>
      <w:r w:rsidR="00007928">
        <w:t xml:space="preserve">cca </w:t>
      </w:r>
      <w:r>
        <w:t>4</w:t>
      </w:r>
      <w:r w:rsidR="00865625">
        <w:t>,5</w:t>
      </w:r>
      <w:r>
        <w:t xml:space="preserve"> – 5 m pod úrovní okolního terénu</w:t>
      </w:r>
      <w:r w:rsidR="00865625">
        <w:t>)</w:t>
      </w:r>
      <w:r w:rsidR="0096156C">
        <w:t xml:space="preserve"> </w:t>
      </w:r>
      <w:r w:rsidR="00A83058">
        <w:t>bude mít</w:t>
      </w:r>
      <w:r w:rsidR="0096156C">
        <w:t xml:space="preserve"> dopady na okolní zástavbu, </w:t>
      </w:r>
      <w:proofErr w:type="gramStart"/>
      <w:r w:rsidR="0096156C">
        <w:t xml:space="preserve">komunikace, </w:t>
      </w:r>
      <w:r w:rsidRPr="009E64A9">
        <w:t xml:space="preserve"> </w:t>
      </w:r>
      <w:r w:rsidR="0096156C" w:rsidRPr="009E64A9">
        <w:t>inženýrsk</w:t>
      </w:r>
      <w:r w:rsidR="0096156C">
        <w:t>é</w:t>
      </w:r>
      <w:proofErr w:type="gramEnd"/>
      <w:r w:rsidR="0096156C" w:rsidRPr="009E64A9">
        <w:t xml:space="preserve"> sít</w:t>
      </w:r>
      <w:r w:rsidR="0096156C">
        <w:t>ě, stromy a pod.</w:t>
      </w:r>
      <w:r w:rsidR="00B20EC6" w:rsidRPr="00B20EC6">
        <w:rPr>
          <w:noProof/>
        </w:rPr>
        <w:t xml:space="preserve"> </w:t>
      </w:r>
      <w:r w:rsidR="00B20EC6">
        <w:rPr>
          <w:noProof/>
        </w:rPr>
        <w:drawing>
          <wp:inline distT="0" distB="0" distL="0" distR="0" wp14:anchorId="6D4989F1" wp14:editId="393DDF4F">
            <wp:extent cx="2185059" cy="1672979"/>
            <wp:effectExtent l="0" t="0" r="5715" b="3810"/>
            <wp:docPr id="3" name="Obrázek 3" descr="Obsah obrázku text, mapa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z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6553" cy="16817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B99B31" w14:textId="77777777" w:rsidR="002F650F" w:rsidRDefault="008E208F" w:rsidP="00DA6A67">
      <w:pPr>
        <w:pStyle w:val="NadpisC"/>
      </w:pPr>
      <w:r>
        <w:t>5</w:t>
      </w:r>
      <w:r>
        <w:tab/>
      </w:r>
      <w:r w:rsidR="005B07AF">
        <w:t>V</w:t>
      </w:r>
      <w:r w:rsidR="002F650F" w:rsidRPr="00ED3333">
        <w:t>liv na dosažení požadovaných kapacit PPO</w:t>
      </w:r>
    </w:p>
    <w:p w14:paraId="168361FF" w14:textId="77777777" w:rsidR="0088527E" w:rsidRDefault="0088527E" w:rsidP="0088527E">
      <w:pPr>
        <w:pStyle w:val="Bntext"/>
      </w:pPr>
      <w:r>
        <w:t xml:space="preserve">Vliv mírně </w:t>
      </w:r>
      <w:r w:rsidRPr="008B4686">
        <w:t>negativní</w:t>
      </w:r>
      <w:r w:rsidR="008354B8">
        <w:t>, nutno posoudit</w:t>
      </w:r>
      <w:r w:rsidR="00007928">
        <w:t xml:space="preserve"> v kombinaci s</w:t>
      </w:r>
      <w:r w:rsidR="008354B8">
        <w:t> </w:t>
      </w:r>
      <w:r w:rsidR="00007928">
        <w:t>ostatními</w:t>
      </w:r>
      <w:r w:rsidR="008354B8">
        <w:t xml:space="preserve"> přijatými</w:t>
      </w:r>
      <w:r w:rsidR="00007928">
        <w:t xml:space="preserve"> opatřeními</w:t>
      </w:r>
      <w:r w:rsidRPr="008B4686">
        <w:t xml:space="preserve">. </w:t>
      </w:r>
    </w:p>
    <w:p w14:paraId="49533A25" w14:textId="77777777" w:rsidR="002F650F" w:rsidRDefault="008E208F" w:rsidP="00DA6A67">
      <w:pPr>
        <w:pStyle w:val="NadpisC"/>
      </w:pPr>
      <w:r>
        <w:t>6</w:t>
      </w:r>
      <w:r>
        <w:tab/>
      </w:r>
      <w:r w:rsidR="00ED3333">
        <w:t>M</w:t>
      </w:r>
      <w:r w:rsidR="002F650F">
        <w:t xml:space="preserve">ožnost adaptace </w:t>
      </w:r>
      <w:r w:rsidR="00DA6A67">
        <w:t xml:space="preserve">z hlediska </w:t>
      </w:r>
      <w:r w:rsidR="002F650F">
        <w:t>slučitel</w:t>
      </w:r>
      <w:r w:rsidR="00DA6A67">
        <w:t>nosti</w:t>
      </w:r>
      <w:r w:rsidR="002F650F">
        <w:t xml:space="preserve"> s koncepcí PPO</w:t>
      </w:r>
      <w:r w:rsidR="00DA6A67">
        <w:t xml:space="preserve"> </w:t>
      </w:r>
    </w:p>
    <w:p w14:paraId="18EA745C" w14:textId="77777777" w:rsidR="0088527E" w:rsidRDefault="0088527E" w:rsidP="0088527E">
      <w:pPr>
        <w:pStyle w:val="Bntext"/>
      </w:pPr>
      <w:r>
        <w:t>Nutno posoudit výpočtem kapacitu koryta i s případným zahrnutím ostatních opatření v úseku F</w:t>
      </w:r>
      <w:r w:rsidR="00FB1423">
        <w:t xml:space="preserve">, </w:t>
      </w:r>
      <w:proofErr w:type="gramStart"/>
      <w:r w:rsidR="00FB1423">
        <w:t xml:space="preserve">zejména </w:t>
      </w:r>
      <w:r>
        <w:t xml:space="preserve"> </w:t>
      </w:r>
      <w:r w:rsidR="008354B8">
        <w:t>F.21</w:t>
      </w:r>
      <w:proofErr w:type="gramEnd"/>
      <w:r w:rsidR="008354B8">
        <w:t xml:space="preserve"> břehové opevnění, </w:t>
      </w:r>
      <w:r>
        <w:t>F</w:t>
      </w:r>
      <w:r w:rsidR="00D656F1">
        <w:t>.29 parkové rameno a F.</w:t>
      </w:r>
      <w:r w:rsidR="008951B3">
        <w:t>30 přeliv.</w:t>
      </w:r>
      <w:r w:rsidR="00930735">
        <w:t xml:space="preserve"> </w:t>
      </w:r>
      <w:r w:rsidR="00D656F1">
        <w:t xml:space="preserve"> </w:t>
      </w:r>
    </w:p>
    <w:p w14:paraId="757EBBDE" w14:textId="77777777" w:rsidR="002F650F" w:rsidRDefault="007A41FB" w:rsidP="00DA6A67">
      <w:pPr>
        <w:pStyle w:val="NadpisC"/>
      </w:pPr>
      <w:r>
        <w:t>7</w:t>
      </w:r>
      <w:r>
        <w:tab/>
      </w:r>
      <w:r w:rsidR="00ED3333">
        <w:t>Z</w:t>
      </w:r>
      <w:r w:rsidR="002F650F">
        <w:t>hodnocení provozních hledisek z pohledu investor</w:t>
      </w:r>
      <w:r w:rsidR="00B65591">
        <w:t>a PPO</w:t>
      </w:r>
    </w:p>
    <w:p w14:paraId="19FA3AAC" w14:textId="77777777" w:rsidR="00007928" w:rsidRDefault="00007928" w:rsidP="00007928">
      <w:pPr>
        <w:pStyle w:val="Bntext"/>
      </w:pPr>
      <w:bookmarkStart w:id="2" w:name="_Hlk34386214"/>
      <w:r>
        <w:t xml:space="preserve">Nároky na správu a </w:t>
      </w:r>
      <w:proofErr w:type="gramStart"/>
      <w:r>
        <w:t>údržbu - nejsou</w:t>
      </w:r>
      <w:proofErr w:type="gramEnd"/>
      <w:r>
        <w:t xml:space="preserve"> podstatné rozdíly oproti řešení v DUR, s tím že </w:t>
      </w:r>
      <w:r w:rsidR="00930735">
        <w:t>prostor za lini</w:t>
      </w:r>
      <w:r w:rsidR="001E40F5">
        <w:t>í</w:t>
      </w:r>
      <w:r>
        <w:t xml:space="preserve"> </w:t>
      </w:r>
      <w:r w:rsidR="00930735">
        <w:t xml:space="preserve">opěrné zdi </w:t>
      </w:r>
      <w:r w:rsidR="00FC7381">
        <w:t>by</w:t>
      </w:r>
      <w:r w:rsidR="00930735">
        <w:t xml:space="preserve"> provozov</w:t>
      </w:r>
      <w:r w:rsidR="00FC7381">
        <w:t>alo</w:t>
      </w:r>
      <w:r w:rsidR="00930735">
        <w:t xml:space="preserve"> město Krnov.</w:t>
      </w:r>
      <w:r>
        <w:t xml:space="preserve"> </w:t>
      </w:r>
    </w:p>
    <w:bookmarkEnd w:id="2"/>
    <w:p w14:paraId="2FA99840" w14:textId="77777777" w:rsidR="002F650F" w:rsidRDefault="007A41FB" w:rsidP="00DA6A67">
      <w:pPr>
        <w:pStyle w:val="NadpisC"/>
      </w:pPr>
      <w:r>
        <w:t>8</w:t>
      </w:r>
      <w:r>
        <w:tab/>
      </w:r>
      <w:r w:rsidR="00B65591">
        <w:t>S</w:t>
      </w:r>
      <w:r w:rsidR="002F650F">
        <w:t xml:space="preserve">tanovisko </w:t>
      </w:r>
      <w:r w:rsidR="00DA6A67">
        <w:t>investora PPO</w:t>
      </w:r>
    </w:p>
    <w:p w14:paraId="184298D5" w14:textId="77777777" w:rsidR="001E40F5" w:rsidRDefault="00515DF6" w:rsidP="001E40F5">
      <w:pPr>
        <w:pStyle w:val="Bntext"/>
      </w:pPr>
      <w:r>
        <w:t xml:space="preserve">S opatřením Povodí Odry, státní podnik nesouhlasí. </w:t>
      </w:r>
      <w:r w:rsidR="001E40F5" w:rsidRPr="005348F4">
        <w:t>Nelze akceptovat z důvodu omezení průtočného profilu</w:t>
      </w:r>
      <w:r w:rsidR="001E40F5">
        <w:t xml:space="preserve"> a vysokým nákladům.</w:t>
      </w:r>
    </w:p>
    <w:p w14:paraId="4DEDE517" w14:textId="77777777" w:rsidR="001E40F5" w:rsidRDefault="001E40F5" w:rsidP="001E40F5">
      <w:pPr>
        <w:pStyle w:val="Bntext"/>
      </w:pPr>
      <w:bookmarkStart w:id="3" w:name="_Hlk41982295"/>
      <w:bookmarkStart w:id="4" w:name="_Hlk41989317"/>
      <w:bookmarkStart w:id="5" w:name="_Hlk41979834"/>
      <w:r>
        <w:t>Z hlediska investorství</w:t>
      </w:r>
      <w:r w:rsidRPr="00B90B01">
        <w:t xml:space="preserve"> </w:t>
      </w:r>
      <w:r w:rsidRPr="00F56DCE">
        <w:rPr>
          <w:b/>
          <w:bCs/>
        </w:rPr>
        <w:t>Typ 5</w:t>
      </w:r>
      <w:r w:rsidRPr="00542005">
        <w:t xml:space="preserve"> – </w:t>
      </w:r>
      <w:r>
        <w:t>odmítaný námět.</w:t>
      </w:r>
      <w:bookmarkEnd w:id="3"/>
      <w:r>
        <w:t xml:space="preserve"> </w:t>
      </w:r>
      <w:bookmarkEnd w:id="4"/>
    </w:p>
    <w:bookmarkEnd w:id="5"/>
    <w:p w14:paraId="3A7A88A9" w14:textId="77777777" w:rsidR="002F650F" w:rsidRDefault="00B65591" w:rsidP="001E40F5">
      <w:pPr>
        <w:pStyle w:val="NadpisC"/>
      </w:pPr>
      <w:r>
        <w:t>9</w:t>
      </w:r>
      <w:r w:rsidR="007A41FB">
        <w:tab/>
      </w:r>
      <w:r w:rsidR="00DA6A67">
        <w:t>N</w:t>
      </w:r>
      <w:r w:rsidR="002F650F">
        <w:t xml:space="preserve">ávrh </w:t>
      </w:r>
      <w:r w:rsidR="00DA6A67">
        <w:t xml:space="preserve">zásad </w:t>
      </w:r>
      <w:r w:rsidR="002F650F">
        <w:t xml:space="preserve">koordinace přípravy a realizace </w:t>
      </w:r>
    </w:p>
    <w:p w14:paraId="09D9850D" w14:textId="77777777" w:rsidR="00D63519" w:rsidRDefault="00D63519" w:rsidP="00D63519">
      <w:r>
        <w:t>Námět nebude zařazen do DUR.</w:t>
      </w:r>
    </w:p>
    <w:p w14:paraId="78D20C66" w14:textId="0D9AAC41" w:rsidR="00B40837" w:rsidRDefault="00D63519" w:rsidP="00A9217C">
      <w:pPr>
        <w:pStyle w:val="Bntext"/>
      </w:pPr>
      <w:r>
        <w:t xml:space="preserve">V předmětném úseku na PB bude realizována ochranná zídka dle návrhu DUR PPO jako </w:t>
      </w:r>
      <w:r w:rsidR="00632278" w:rsidRPr="00141FE7">
        <w:t xml:space="preserve">SO </w:t>
      </w:r>
      <w:proofErr w:type="gramStart"/>
      <w:r w:rsidR="00632278" w:rsidRPr="00141FE7">
        <w:t>090.13.11  Pravobřežní</w:t>
      </w:r>
      <w:proofErr w:type="gramEnd"/>
      <w:r w:rsidR="00632278" w:rsidRPr="00141FE7">
        <w:t xml:space="preserve"> ochranná zídka v km 1,528 - 1,995</w:t>
      </w:r>
      <w:r w:rsidR="00632278" w:rsidRPr="00D33C0B">
        <w:t>.</w:t>
      </w:r>
      <w:r w:rsidR="00632278">
        <w:t xml:space="preserve"> </w:t>
      </w:r>
    </w:p>
    <w:p w14:paraId="01CEEF91" w14:textId="02553D88" w:rsidR="0047544D" w:rsidRDefault="0047544D" w:rsidP="00A9217C">
      <w:pPr>
        <w:pStyle w:val="Bntext"/>
      </w:pPr>
    </w:p>
    <w:tbl>
      <w:tblPr>
        <w:tblStyle w:val="Mkatabulky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9062"/>
      </w:tblGrid>
      <w:tr w:rsidR="00B14EA6" w:rsidRPr="00ED5BBD" w14:paraId="330A82D8" w14:textId="77777777" w:rsidTr="00BC25DC">
        <w:tc>
          <w:tcPr>
            <w:tcW w:w="9062" w:type="dxa"/>
            <w:shd w:val="clear" w:color="auto" w:fill="F2F2F2" w:themeFill="background1" w:themeFillShade="F2"/>
            <w:hideMark/>
          </w:tcPr>
          <w:p w14:paraId="264EAB33" w14:textId="77777777" w:rsidR="00B14EA6" w:rsidRPr="00ED5BBD" w:rsidRDefault="00B14EA6" w:rsidP="00BC25DC">
            <w:pPr>
              <w:rPr>
                <w:rFonts w:cs="Arial"/>
                <w:b/>
                <w:bCs/>
                <w:color w:val="FF0000"/>
                <w:szCs w:val="20"/>
              </w:rPr>
            </w:pPr>
            <w:bookmarkStart w:id="6" w:name="_Hlk48577253"/>
            <w:r w:rsidRPr="00ED5BBD">
              <w:rPr>
                <w:rFonts w:cs="Arial"/>
                <w:b/>
                <w:bCs/>
                <w:color w:val="FF0000"/>
                <w:sz w:val="24"/>
              </w:rPr>
              <w:t>ZÁVĚR</w:t>
            </w:r>
          </w:p>
        </w:tc>
      </w:tr>
      <w:tr w:rsidR="00B14EA6" w:rsidRPr="00ED5BBD" w14:paraId="11A5C9D2" w14:textId="77777777" w:rsidTr="00BC25DC">
        <w:tc>
          <w:tcPr>
            <w:tcW w:w="9062" w:type="dxa"/>
            <w:hideMark/>
          </w:tcPr>
          <w:p w14:paraId="3CD1B5C2" w14:textId="17117DDE" w:rsidR="00B14EA6" w:rsidRDefault="00B14EA6" w:rsidP="00B14EA6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b</w:t>
            </w:r>
            <w:r>
              <w:rPr>
                <w:color w:val="FF0000"/>
                <w:szCs w:val="20"/>
              </w:rPr>
              <w:t>ylo dohodnuto (platí pro F.05 a F.10)</w:t>
            </w:r>
          </w:p>
          <w:p w14:paraId="5436B6AE" w14:textId="77777777" w:rsidR="00B14EA6" w:rsidRDefault="00B14EA6" w:rsidP="00B14EA6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varianta A (viz obrázek) – odsunutí masivní zdi do břehu se zachování korza v koruně břehu; bude investice města Krnov;</w:t>
            </w:r>
          </w:p>
          <w:p w14:paraId="520B1DEE" w14:textId="77777777" w:rsidR="00B14EA6" w:rsidRDefault="00B14EA6" w:rsidP="00B14EA6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var B (viz obrázek) – opěrná zídka horní výška dle PPO, lavice se stezkou (cca š.</w:t>
            </w:r>
            <w:proofErr w:type="gramStart"/>
            <w:r>
              <w:rPr>
                <w:color w:val="FF0000"/>
                <w:szCs w:val="20"/>
              </w:rPr>
              <w:t>2m</w:t>
            </w:r>
            <w:proofErr w:type="gramEnd"/>
            <w:r>
              <w:rPr>
                <w:color w:val="FF0000"/>
                <w:szCs w:val="20"/>
              </w:rPr>
              <w:t xml:space="preserve">), výsadba v horní úrovni svahu </w:t>
            </w:r>
          </w:p>
          <w:p w14:paraId="0F8822CF" w14:textId="77777777" w:rsidR="00B14EA6" w:rsidRDefault="00B14EA6" w:rsidP="00B14EA6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var A+B řešit pro úseky před a za mlýnských náhonem</w:t>
            </w:r>
          </w:p>
          <w:p w14:paraId="74AC0F86" w14:textId="77777777" w:rsidR="00B14EA6" w:rsidRDefault="00B14EA6" w:rsidP="00B14EA6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Pro město Krnov:</w:t>
            </w:r>
          </w:p>
          <w:p w14:paraId="07DC8DF4" w14:textId="62FEB4C2" w:rsidR="00B14EA6" w:rsidRDefault="00B14EA6" w:rsidP="00B14EA6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_ zad</w:t>
            </w:r>
            <w:r>
              <w:rPr>
                <w:color w:val="FF0000"/>
                <w:szCs w:val="20"/>
              </w:rPr>
              <w:t>at</w:t>
            </w:r>
            <w:r>
              <w:rPr>
                <w:color w:val="FF0000"/>
                <w:szCs w:val="20"/>
              </w:rPr>
              <w:t xml:space="preserve"> úpravu řešení</w:t>
            </w:r>
          </w:p>
          <w:p w14:paraId="333E904D" w14:textId="77777777" w:rsidR="00B14EA6" w:rsidRDefault="00B14EA6" w:rsidP="00B14EA6">
            <w:pPr>
              <w:pStyle w:val="Bntext"/>
              <w:rPr>
                <w:color w:val="FF0000"/>
                <w:szCs w:val="20"/>
              </w:rPr>
            </w:pPr>
          </w:p>
          <w:p w14:paraId="02329878" w14:textId="77777777" w:rsidR="00B14EA6" w:rsidRDefault="00B14EA6" w:rsidP="00B14EA6">
            <w:pPr>
              <w:pStyle w:val="Bntext"/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t>Následně bude návrh projednán s PO</w:t>
            </w:r>
          </w:p>
          <w:p w14:paraId="6A0FD370" w14:textId="77777777" w:rsidR="00B14EA6" w:rsidRDefault="00B14EA6" w:rsidP="00B14EA6">
            <w:pPr>
              <w:pStyle w:val="Bntext"/>
              <w:rPr>
                <w:color w:val="FF0000"/>
                <w:szCs w:val="20"/>
              </w:rPr>
            </w:pPr>
          </w:p>
          <w:p w14:paraId="6858D0DA" w14:textId="77777777" w:rsidR="00531F4D" w:rsidRDefault="00531F4D" w:rsidP="00B14EA6">
            <w:pPr>
              <w:rPr>
                <w:color w:val="FF0000"/>
                <w:szCs w:val="20"/>
              </w:rPr>
            </w:pPr>
          </w:p>
          <w:p w14:paraId="6BEE6872" w14:textId="77777777" w:rsidR="00531F4D" w:rsidRDefault="00531F4D" w:rsidP="00B14EA6">
            <w:pPr>
              <w:rPr>
                <w:color w:val="FF0000"/>
                <w:szCs w:val="20"/>
              </w:rPr>
            </w:pPr>
          </w:p>
          <w:p w14:paraId="146AA137" w14:textId="3251170F" w:rsidR="00B14EA6" w:rsidRDefault="00B14EA6" w:rsidP="00B14EA6">
            <w:pPr>
              <w:rPr>
                <w:color w:val="FF0000"/>
                <w:szCs w:val="20"/>
              </w:rPr>
            </w:pPr>
            <w:r>
              <w:rPr>
                <w:color w:val="FF0000"/>
                <w:szCs w:val="20"/>
              </w:rPr>
              <w:lastRenderedPageBreak/>
              <w:t>var A (ilustrační obrázek)</w:t>
            </w:r>
            <w:r>
              <w:rPr>
                <w:color w:val="FF0000"/>
                <w:szCs w:val="20"/>
              </w:rPr>
              <w:tab/>
            </w:r>
            <w:r>
              <w:rPr>
                <w:color w:val="FF0000"/>
                <w:szCs w:val="20"/>
              </w:rPr>
              <w:tab/>
            </w:r>
            <w:r>
              <w:rPr>
                <w:color w:val="FF0000"/>
                <w:szCs w:val="20"/>
              </w:rPr>
              <w:tab/>
              <w:t>var B (ilustrační obrázek)</w:t>
            </w:r>
          </w:p>
          <w:p w14:paraId="59B77739" w14:textId="77777777" w:rsidR="00B14EA6" w:rsidRPr="00CA50F7" w:rsidRDefault="00B14EA6" w:rsidP="00B14EA6">
            <w:pPr>
              <w:pStyle w:val="Bntext"/>
              <w:rPr>
                <w:color w:val="FF0000"/>
                <w:szCs w:val="20"/>
              </w:rPr>
            </w:pPr>
            <w:r>
              <w:rPr>
                <w:noProof/>
                <w:color w:val="FF0000"/>
                <w:szCs w:val="20"/>
              </w:rPr>
              <w:drawing>
                <wp:inline distT="0" distB="0" distL="0" distR="0" wp14:anchorId="6D5D73C2" wp14:editId="352EBD22">
                  <wp:extent cx="2736000" cy="2736000"/>
                  <wp:effectExtent l="0" t="0" r="7620" b="762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6000" cy="2736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5D1A8B4E" wp14:editId="5E5F13E3">
                  <wp:simplePos x="0" y="0"/>
                  <wp:positionH relativeFrom="column">
                    <wp:posOffset>2747645</wp:posOffset>
                  </wp:positionH>
                  <wp:positionV relativeFrom="paragraph">
                    <wp:posOffset>41910</wp:posOffset>
                  </wp:positionV>
                  <wp:extent cx="2735580" cy="2735580"/>
                  <wp:effectExtent l="0" t="0" r="7620" b="7620"/>
                  <wp:wrapThrough wrapText="bothSides">
                    <wp:wrapPolygon edited="0">
                      <wp:start x="0" y="0"/>
                      <wp:lineTo x="0" y="21510"/>
                      <wp:lineTo x="21510" y="21510"/>
                      <wp:lineTo x="21510" y="0"/>
                      <wp:lineTo x="0" y="0"/>
                    </wp:wrapPolygon>
                  </wp:wrapThrough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Obrázek 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35580" cy="2735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011C1463" w14:textId="77777777" w:rsidR="00B14EA6" w:rsidRPr="00ED5BBD" w:rsidRDefault="00B14EA6" w:rsidP="00BC25DC">
            <w:pPr>
              <w:pStyle w:val="Bntext"/>
              <w:rPr>
                <w:rFonts w:cs="Arial"/>
                <w:color w:val="FF0000"/>
                <w:szCs w:val="20"/>
              </w:rPr>
            </w:pPr>
          </w:p>
          <w:p w14:paraId="2D46D6A9" w14:textId="77777777" w:rsidR="00B14EA6" w:rsidRPr="00ED5BBD" w:rsidRDefault="00B14EA6" w:rsidP="00BC25D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B14EA6" w:rsidRPr="00ED5BBD" w14:paraId="40964BE5" w14:textId="77777777" w:rsidTr="00BC25DC">
        <w:tc>
          <w:tcPr>
            <w:tcW w:w="9062" w:type="dxa"/>
            <w:shd w:val="clear" w:color="auto" w:fill="auto"/>
          </w:tcPr>
          <w:p w14:paraId="203C33A7" w14:textId="77777777" w:rsidR="00B14EA6" w:rsidRPr="00ED5BBD" w:rsidRDefault="00B14EA6" w:rsidP="00BC25DC">
            <w:pPr>
              <w:rPr>
                <w:rFonts w:cs="Arial"/>
                <w:color w:val="FF0000"/>
                <w:szCs w:val="20"/>
              </w:rPr>
            </w:pPr>
            <w:r w:rsidRPr="00ED5BBD">
              <w:rPr>
                <w:rFonts w:cs="Arial"/>
                <w:i/>
                <w:iCs/>
                <w:color w:val="FF0000"/>
                <w:szCs w:val="20"/>
              </w:rPr>
              <w:lastRenderedPageBreak/>
              <w:t xml:space="preserve">pozn.: závěr vychází z konzultací ke koordinaci záměru Studie „Krnov: Řeka ve městě“ a projektové dokumentace DUR stavby OHO 02.090, Opatření Krnov-město, konaných 6.8.2020 a 14.8.2020 v kanceláři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za účasti zástupců fy.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Aquatis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 xml:space="preserve">, a.s. (Švancara, Mikulášek) a týmu Studie „Krnov: řeka ve městě“ (Machovský, Ondruška, Atelier </w:t>
            </w:r>
            <w:proofErr w:type="spellStart"/>
            <w:r w:rsidRPr="00ED5BBD">
              <w:rPr>
                <w:rFonts w:cs="Arial"/>
                <w:i/>
                <w:iCs/>
                <w:color w:val="FF0000"/>
                <w:szCs w:val="20"/>
              </w:rPr>
              <w:t>Fontes</w:t>
            </w:r>
            <w:proofErr w:type="spellEnd"/>
            <w:r w:rsidRPr="00ED5BBD">
              <w:rPr>
                <w:rFonts w:cs="Arial"/>
                <w:i/>
                <w:iCs/>
                <w:color w:val="FF0000"/>
                <w:szCs w:val="20"/>
              </w:rPr>
              <w:t>, s.r.o. – Havlíček, Řiháček)</w:t>
            </w:r>
          </w:p>
        </w:tc>
      </w:tr>
      <w:bookmarkEnd w:id="6"/>
    </w:tbl>
    <w:p w14:paraId="1B2645C1" w14:textId="77777777" w:rsidR="00B14EA6" w:rsidRDefault="00B14EA6" w:rsidP="00A9217C">
      <w:pPr>
        <w:pStyle w:val="Bntext"/>
      </w:pPr>
    </w:p>
    <w:p w14:paraId="69D2AA62" w14:textId="77777777" w:rsidR="00986CF2" w:rsidRDefault="00986CF2">
      <w:pPr>
        <w:rPr>
          <w:color w:val="FF0000"/>
          <w:szCs w:val="20"/>
        </w:rPr>
      </w:pPr>
    </w:p>
    <w:p w14:paraId="13F9716B" w14:textId="034E25A5" w:rsidR="00986CF2" w:rsidRPr="009E276C" w:rsidRDefault="00986CF2" w:rsidP="009E276C">
      <w:pPr>
        <w:rPr>
          <w:color w:val="FF0000"/>
          <w:szCs w:val="20"/>
        </w:rPr>
      </w:pPr>
    </w:p>
    <w:sectPr w:rsidR="00986CF2" w:rsidRPr="009E276C">
      <w:headerReference w:type="default" r:id="rId11"/>
      <w:footerReference w:type="default" r:id="rId12"/>
      <w:pgSz w:w="11906" w:h="16838"/>
      <w:pgMar w:top="1418" w:right="1418" w:bottom="1418" w:left="1418" w:header="851" w:footer="3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5F71CF" w14:textId="77777777" w:rsidR="00027EBF" w:rsidRDefault="00027EBF">
      <w:r>
        <w:separator/>
      </w:r>
    </w:p>
  </w:endnote>
  <w:endnote w:type="continuationSeparator" w:id="0">
    <w:p w14:paraId="24F0D341" w14:textId="77777777" w:rsidR="00027EBF" w:rsidRDefault="00027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05"/>
      <w:gridCol w:w="4605"/>
    </w:tblGrid>
    <w:tr w:rsidR="00BE0FEB" w14:paraId="399018CA" w14:textId="77777777">
      <w:trPr>
        <w:cantSplit/>
      </w:trPr>
      <w:tc>
        <w:tcPr>
          <w:tcW w:w="9210" w:type="dxa"/>
          <w:gridSpan w:val="2"/>
          <w:tcBorders>
            <w:bottom w:val="single" w:sz="4" w:space="0" w:color="auto"/>
          </w:tcBorders>
        </w:tcPr>
        <w:p w14:paraId="55EE7F22" w14:textId="77777777" w:rsidR="00BE0FEB" w:rsidRDefault="00BE0FEB" w:rsidP="001E1F3D">
          <w:pPr>
            <w:pStyle w:val="Zpat"/>
          </w:pPr>
          <w:r>
            <w:t xml:space="preserve">Copyright </w:t>
          </w:r>
          <w:r>
            <w:rPr>
              <w:rFonts w:cs="Arial"/>
              <w:sz w:val="26"/>
              <w:szCs w:val="26"/>
            </w:rPr>
            <w:t xml:space="preserve">© </w:t>
          </w:r>
          <w:r w:rsidR="001E1F3D">
            <w:rPr>
              <w:rFonts w:ascii="Helv" w:hAnsi="Helv"/>
              <w:color w:val="000000"/>
              <w:szCs w:val="20"/>
            </w:rPr>
            <w:t>AQUATIS</w:t>
          </w:r>
          <w:r>
            <w:rPr>
              <w:rFonts w:ascii="Helv" w:hAnsi="Helv"/>
              <w:color w:val="000000"/>
              <w:szCs w:val="20"/>
            </w:rPr>
            <w:t xml:space="preserve"> a.s.</w:t>
          </w:r>
        </w:p>
      </w:tc>
    </w:tr>
    <w:tr w:rsidR="00BE0FEB" w14:paraId="683DF74A" w14:textId="77777777">
      <w:tc>
        <w:tcPr>
          <w:tcW w:w="4605" w:type="dxa"/>
          <w:tcBorders>
            <w:top w:val="single" w:sz="4" w:space="0" w:color="auto"/>
          </w:tcBorders>
        </w:tcPr>
        <w:p w14:paraId="6813C443" w14:textId="01C3DD9B" w:rsidR="00BE0FEB" w:rsidRDefault="00027EBF">
          <w:pPr>
            <w:pStyle w:val="Zpat"/>
          </w:pPr>
          <w:r>
            <w:fldChar w:fldCharType="begin"/>
          </w:r>
          <w:r>
            <w:instrText xml:space="preserve"> FILENAME  \* MERGEFORMAT </w:instrText>
          </w:r>
          <w:r>
            <w:fldChar w:fldCharType="separate"/>
          </w:r>
          <w:r w:rsidR="00896795">
            <w:rPr>
              <w:noProof/>
            </w:rPr>
            <w:t>F_05+zaver 08-2020.docx</w:t>
          </w:r>
          <w:r>
            <w:rPr>
              <w:noProof/>
            </w:rPr>
            <w:fldChar w:fldCharType="end"/>
          </w:r>
        </w:p>
      </w:tc>
      <w:tc>
        <w:tcPr>
          <w:tcW w:w="4605" w:type="dxa"/>
          <w:tcBorders>
            <w:top w:val="single" w:sz="4" w:space="0" w:color="auto"/>
          </w:tcBorders>
          <w:vAlign w:val="bottom"/>
        </w:tcPr>
        <w:p w14:paraId="595D3819" w14:textId="77777777" w:rsidR="00BE0FEB" w:rsidRDefault="00BE0FEB">
          <w:pPr>
            <w:pStyle w:val="Zpat"/>
            <w:jc w:val="right"/>
          </w:pPr>
          <w:r>
            <w:t xml:space="preserve">strana </w:t>
          </w:r>
          <w:r>
            <w:fldChar w:fldCharType="begin"/>
          </w:r>
          <w:r>
            <w:instrText xml:space="preserve"> PAGE </w:instrText>
          </w:r>
          <w:r>
            <w:fldChar w:fldCharType="separate"/>
          </w:r>
          <w:r w:rsidR="001E1F3D">
            <w:rPr>
              <w:noProof/>
            </w:rPr>
            <w:t>1</w:t>
          </w:r>
          <w:r>
            <w:fldChar w:fldCharType="end"/>
          </w:r>
        </w:p>
      </w:tc>
    </w:tr>
  </w:tbl>
  <w:p w14:paraId="2C44B46A" w14:textId="77777777" w:rsidR="00BE0FEB" w:rsidRDefault="00BE0FE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4E9585C" w14:textId="77777777" w:rsidR="00027EBF" w:rsidRDefault="00027EBF">
      <w:r>
        <w:separator/>
      </w:r>
    </w:p>
  </w:footnote>
  <w:footnote w:type="continuationSeparator" w:id="0">
    <w:p w14:paraId="6ECE45E9" w14:textId="77777777" w:rsidR="00027EBF" w:rsidRDefault="00027E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Ind w:w="-7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677"/>
      <w:gridCol w:w="4605"/>
    </w:tblGrid>
    <w:tr w:rsidR="00BC0753" w14:paraId="6336EC70" w14:textId="77777777" w:rsidTr="002F650F">
      <w:tc>
        <w:tcPr>
          <w:tcW w:w="4677" w:type="dxa"/>
          <w:tcBorders>
            <w:bottom w:val="single" w:sz="4" w:space="0" w:color="auto"/>
          </w:tcBorders>
        </w:tcPr>
        <w:p w14:paraId="4EE1CCFE" w14:textId="77777777" w:rsidR="00BC0753" w:rsidRDefault="00101B48" w:rsidP="00BC0753">
          <w:pPr>
            <w:pStyle w:val="Zhlav"/>
          </w:pPr>
          <w:r>
            <w:t>List opatření</w:t>
          </w:r>
        </w:p>
      </w:tc>
      <w:tc>
        <w:tcPr>
          <w:tcW w:w="4605" w:type="dxa"/>
          <w:tcBorders>
            <w:bottom w:val="single" w:sz="4" w:space="0" w:color="auto"/>
          </w:tcBorders>
          <w:vAlign w:val="bottom"/>
        </w:tcPr>
        <w:p w14:paraId="47820CEE" w14:textId="77777777" w:rsidR="00BC0753" w:rsidRDefault="00BC0753" w:rsidP="00BC0753">
          <w:pPr>
            <w:pStyle w:val="Zhlav"/>
            <w:jc w:val="right"/>
          </w:pPr>
          <w:r w:rsidRPr="005972D8">
            <w:t>Posouzení návrhu řešení města Krnov</w:t>
          </w:r>
          <w:r>
            <w:t>a</w:t>
          </w:r>
          <w:r w:rsidRPr="005972D8">
            <w:t xml:space="preserve"> </w:t>
          </w:r>
          <w:r>
            <w:br/>
          </w:r>
          <w:r w:rsidRPr="005972D8">
            <w:t>podle studie "Krnov: Řeka ve městě"</w:t>
          </w:r>
        </w:p>
      </w:tc>
    </w:tr>
    <w:tr w:rsidR="00BE0FEB" w14:paraId="6285849E" w14:textId="77777777" w:rsidTr="002F650F">
      <w:trPr>
        <w:cantSplit/>
      </w:trPr>
      <w:tc>
        <w:tcPr>
          <w:tcW w:w="9282" w:type="dxa"/>
          <w:gridSpan w:val="2"/>
          <w:tcBorders>
            <w:top w:val="single" w:sz="4" w:space="0" w:color="auto"/>
            <w:bottom w:val="nil"/>
          </w:tcBorders>
        </w:tcPr>
        <w:p w14:paraId="4D1966B1" w14:textId="77777777" w:rsidR="00BE0FEB" w:rsidRDefault="003442DC">
          <w:pPr>
            <w:pStyle w:val="Zhlav"/>
            <w:jc w:val="right"/>
          </w:pPr>
          <w:proofErr w:type="gramStart"/>
          <w:r>
            <w:t>20044A</w:t>
          </w:r>
          <w:proofErr w:type="gramEnd"/>
        </w:p>
      </w:tc>
    </w:tr>
  </w:tbl>
  <w:p w14:paraId="373D85F4" w14:textId="77777777" w:rsidR="00BE0FEB" w:rsidRDefault="00BE0FE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E"/>
    <w:multiLevelType w:val="singleLevel"/>
    <w:tmpl w:val="FC2CBE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7F"/>
    <w:multiLevelType w:val="singleLevel"/>
    <w:tmpl w:val="0F20B8A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2" w15:restartNumberingAfterBreak="0">
    <w:nsid w:val="FFFFFF82"/>
    <w:multiLevelType w:val="singleLevel"/>
    <w:tmpl w:val="2438FC3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66A2B2D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45C2A6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F466B2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42D5C28"/>
    <w:multiLevelType w:val="hybridMultilevel"/>
    <w:tmpl w:val="47F040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3A3C96"/>
    <w:multiLevelType w:val="hybridMultilevel"/>
    <w:tmpl w:val="26B43D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8452E4"/>
    <w:multiLevelType w:val="multilevel"/>
    <w:tmpl w:val="63E00C6E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851" w:hanging="85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1584" w:hanging="1584"/>
      </w:pPr>
      <w:rPr>
        <w:rFonts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8"/>
  </w:num>
  <w:num w:numId="5">
    <w:abstractNumId w:val="8"/>
  </w:num>
  <w:num w:numId="6">
    <w:abstractNumId w:val="8"/>
  </w:num>
  <w:num w:numId="7">
    <w:abstractNumId w:val="8"/>
  </w:num>
  <w:num w:numId="8">
    <w:abstractNumId w:val="5"/>
  </w:num>
  <w:num w:numId="9">
    <w:abstractNumId w:val="5"/>
  </w:num>
  <w:num w:numId="10">
    <w:abstractNumId w:val="3"/>
  </w:num>
  <w:num w:numId="11">
    <w:abstractNumId w:val="3"/>
  </w:num>
  <w:num w:numId="12">
    <w:abstractNumId w:val="2"/>
  </w:num>
  <w:num w:numId="13">
    <w:abstractNumId w:val="2"/>
  </w:num>
  <w:num w:numId="14">
    <w:abstractNumId w:val="7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BD23D3"/>
    <w:rsid w:val="00001C37"/>
    <w:rsid w:val="00007928"/>
    <w:rsid w:val="00011A09"/>
    <w:rsid w:val="00027EBF"/>
    <w:rsid w:val="0009418B"/>
    <w:rsid w:val="00101B48"/>
    <w:rsid w:val="001346F1"/>
    <w:rsid w:val="001526A5"/>
    <w:rsid w:val="001834D7"/>
    <w:rsid w:val="001D15AE"/>
    <w:rsid w:val="001D6AFC"/>
    <w:rsid w:val="001E1F3D"/>
    <w:rsid w:val="001E40F5"/>
    <w:rsid w:val="0020200A"/>
    <w:rsid w:val="002170A1"/>
    <w:rsid w:val="00235460"/>
    <w:rsid w:val="00254E5E"/>
    <w:rsid w:val="002F08DA"/>
    <w:rsid w:val="002F0A06"/>
    <w:rsid w:val="002F650F"/>
    <w:rsid w:val="003322E8"/>
    <w:rsid w:val="0033355F"/>
    <w:rsid w:val="00343780"/>
    <w:rsid w:val="003442DC"/>
    <w:rsid w:val="00346654"/>
    <w:rsid w:val="00385ED4"/>
    <w:rsid w:val="003A1DEA"/>
    <w:rsid w:val="003B1ADD"/>
    <w:rsid w:val="003B4D9D"/>
    <w:rsid w:val="003B7602"/>
    <w:rsid w:val="003E5B29"/>
    <w:rsid w:val="003F47E4"/>
    <w:rsid w:val="003F5A51"/>
    <w:rsid w:val="00413413"/>
    <w:rsid w:val="00437A4C"/>
    <w:rsid w:val="0047544D"/>
    <w:rsid w:val="00493812"/>
    <w:rsid w:val="004955FF"/>
    <w:rsid w:val="004E29EE"/>
    <w:rsid w:val="00515DF6"/>
    <w:rsid w:val="00521A41"/>
    <w:rsid w:val="00521E1A"/>
    <w:rsid w:val="005230F7"/>
    <w:rsid w:val="00523840"/>
    <w:rsid w:val="00531F4D"/>
    <w:rsid w:val="00542F9C"/>
    <w:rsid w:val="00555473"/>
    <w:rsid w:val="005744F0"/>
    <w:rsid w:val="005A3D97"/>
    <w:rsid w:val="005A6EE4"/>
    <w:rsid w:val="005B07AF"/>
    <w:rsid w:val="005D1D4D"/>
    <w:rsid w:val="005E182B"/>
    <w:rsid w:val="00614A53"/>
    <w:rsid w:val="00623B83"/>
    <w:rsid w:val="00632278"/>
    <w:rsid w:val="00664255"/>
    <w:rsid w:val="0067637D"/>
    <w:rsid w:val="00690190"/>
    <w:rsid w:val="00693F6B"/>
    <w:rsid w:val="006D54F3"/>
    <w:rsid w:val="00760DEB"/>
    <w:rsid w:val="007961D7"/>
    <w:rsid w:val="007A41FB"/>
    <w:rsid w:val="007B5DDB"/>
    <w:rsid w:val="007E071E"/>
    <w:rsid w:val="00822FFC"/>
    <w:rsid w:val="008354B8"/>
    <w:rsid w:val="008609C4"/>
    <w:rsid w:val="00865625"/>
    <w:rsid w:val="00875B7E"/>
    <w:rsid w:val="0088527E"/>
    <w:rsid w:val="008951B3"/>
    <w:rsid w:val="00896795"/>
    <w:rsid w:val="008A5894"/>
    <w:rsid w:val="008B513C"/>
    <w:rsid w:val="008D66E7"/>
    <w:rsid w:val="008E208F"/>
    <w:rsid w:val="00902136"/>
    <w:rsid w:val="00930735"/>
    <w:rsid w:val="00947DE4"/>
    <w:rsid w:val="00956E40"/>
    <w:rsid w:val="0096156C"/>
    <w:rsid w:val="00966A94"/>
    <w:rsid w:val="00986CF2"/>
    <w:rsid w:val="009A232C"/>
    <w:rsid w:val="009B4603"/>
    <w:rsid w:val="009B6CE6"/>
    <w:rsid w:val="009E276C"/>
    <w:rsid w:val="00A43DB9"/>
    <w:rsid w:val="00A56EE2"/>
    <w:rsid w:val="00A83058"/>
    <w:rsid w:val="00A9217C"/>
    <w:rsid w:val="00A979F6"/>
    <w:rsid w:val="00AB773C"/>
    <w:rsid w:val="00AC668D"/>
    <w:rsid w:val="00AC6A8A"/>
    <w:rsid w:val="00AF19D0"/>
    <w:rsid w:val="00B14EA6"/>
    <w:rsid w:val="00B20EC6"/>
    <w:rsid w:val="00B40837"/>
    <w:rsid w:val="00B50DEA"/>
    <w:rsid w:val="00B65591"/>
    <w:rsid w:val="00BC0753"/>
    <w:rsid w:val="00BD23D3"/>
    <w:rsid w:val="00BE0FEB"/>
    <w:rsid w:val="00C067F2"/>
    <w:rsid w:val="00C22EF6"/>
    <w:rsid w:val="00C4482C"/>
    <w:rsid w:val="00CA635E"/>
    <w:rsid w:val="00CB5749"/>
    <w:rsid w:val="00CD6F29"/>
    <w:rsid w:val="00CE5B6D"/>
    <w:rsid w:val="00D12E55"/>
    <w:rsid w:val="00D155A6"/>
    <w:rsid w:val="00D339F0"/>
    <w:rsid w:val="00D63519"/>
    <w:rsid w:val="00D656F1"/>
    <w:rsid w:val="00D96981"/>
    <w:rsid w:val="00DA6A67"/>
    <w:rsid w:val="00DD256E"/>
    <w:rsid w:val="00E25109"/>
    <w:rsid w:val="00E30B40"/>
    <w:rsid w:val="00E41632"/>
    <w:rsid w:val="00E63454"/>
    <w:rsid w:val="00E82ABC"/>
    <w:rsid w:val="00EC7EAA"/>
    <w:rsid w:val="00ED3333"/>
    <w:rsid w:val="00ED3466"/>
    <w:rsid w:val="00F7745C"/>
    <w:rsid w:val="00FB1423"/>
    <w:rsid w:val="00FC57D2"/>
    <w:rsid w:val="00FC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FD868A"/>
  <w15:docId w15:val="{5989D4D7-8FFD-4805-BBD4-8288A72708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Bntext"/>
    <w:qFormat/>
    <w:pPr>
      <w:keepNext/>
      <w:widowControl w:val="0"/>
      <w:numPr>
        <w:numId w:val="4"/>
      </w:numPr>
      <w:spacing w:before="240" w:after="60"/>
      <w:outlineLvl w:val="0"/>
    </w:pPr>
    <w:rPr>
      <w:rFonts w:cs="Arial"/>
      <w:b/>
      <w:bCs/>
      <w:caps/>
      <w:kern w:val="28"/>
      <w:sz w:val="28"/>
      <w:szCs w:val="32"/>
    </w:rPr>
  </w:style>
  <w:style w:type="paragraph" w:styleId="Nadpis2">
    <w:name w:val="heading 2"/>
    <w:basedOn w:val="Normln"/>
    <w:next w:val="Bntext"/>
    <w:qFormat/>
    <w:pPr>
      <w:keepNext/>
      <w:widowControl w:val="0"/>
      <w:numPr>
        <w:ilvl w:val="1"/>
        <w:numId w:val="5"/>
      </w:numPr>
      <w:spacing w:before="240" w:after="60"/>
      <w:outlineLvl w:val="1"/>
    </w:pPr>
    <w:rPr>
      <w:rFonts w:cs="Arial"/>
      <w:b/>
      <w:bCs/>
      <w:iCs/>
      <w:kern w:val="28"/>
      <w:sz w:val="28"/>
      <w:szCs w:val="28"/>
    </w:rPr>
  </w:style>
  <w:style w:type="paragraph" w:styleId="Nadpis3">
    <w:name w:val="heading 3"/>
    <w:basedOn w:val="Normln"/>
    <w:next w:val="Bntext"/>
    <w:qFormat/>
    <w:pPr>
      <w:keepNext/>
      <w:widowControl w:val="0"/>
      <w:numPr>
        <w:ilvl w:val="2"/>
        <w:numId w:val="6"/>
      </w:numPr>
      <w:spacing w:before="240" w:after="60"/>
      <w:outlineLvl w:val="2"/>
    </w:pPr>
    <w:rPr>
      <w:rFonts w:cs="Arial"/>
      <w:b/>
      <w:bCs/>
      <w:kern w:val="24"/>
      <w:sz w:val="24"/>
      <w:szCs w:val="26"/>
    </w:rPr>
  </w:style>
  <w:style w:type="paragraph" w:styleId="Nadpis4">
    <w:name w:val="heading 4"/>
    <w:basedOn w:val="Normln"/>
    <w:next w:val="Bntext"/>
    <w:qFormat/>
    <w:pPr>
      <w:keepNext/>
      <w:widowControl w:val="0"/>
      <w:numPr>
        <w:ilvl w:val="3"/>
        <w:numId w:val="7"/>
      </w:numPr>
      <w:tabs>
        <w:tab w:val="clear" w:pos="1080"/>
        <w:tab w:val="left" w:pos="851"/>
      </w:tabs>
      <w:spacing w:before="240" w:after="60"/>
      <w:outlineLvl w:val="3"/>
    </w:pPr>
    <w:rPr>
      <w:b/>
      <w:bCs/>
      <w:kern w:val="22"/>
      <w:sz w:val="22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widowControl w:val="0"/>
      <w:spacing w:before="60" w:after="60"/>
    </w:pPr>
    <w:rPr>
      <w:i/>
    </w:rPr>
  </w:style>
  <w:style w:type="paragraph" w:styleId="Zpat">
    <w:name w:val="footer"/>
    <w:basedOn w:val="Normln"/>
    <w:pPr>
      <w:widowControl w:val="0"/>
      <w:spacing w:before="60" w:after="60"/>
    </w:pPr>
    <w:rPr>
      <w:i/>
    </w:rPr>
  </w:style>
  <w:style w:type="paragraph" w:customStyle="1" w:styleId="Bntext">
    <w:name w:val="Běžný text"/>
    <w:basedOn w:val="Normln"/>
    <w:pPr>
      <w:widowControl w:val="0"/>
      <w:spacing w:before="60" w:after="60"/>
      <w:jc w:val="both"/>
    </w:pPr>
  </w:style>
  <w:style w:type="paragraph" w:customStyle="1" w:styleId="Bntextodsazen">
    <w:name w:val="Běžný text odsazený"/>
    <w:basedOn w:val="Normln"/>
    <w:pPr>
      <w:widowControl w:val="0"/>
      <w:spacing w:before="60" w:after="60"/>
      <w:ind w:left="851"/>
    </w:pPr>
  </w:style>
  <w:style w:type="paragraph" w:styleId="slovanseznam">
    <w:name w:val="List Number"/>
    <w:basedOn w:val="Normln"/>
    <w:pPr>
      <w:widowControl w:val="0"/>
      <w:tabs>
        <w:tab w:val="left" w:pos="357"/>
      </w:tabs>
      <w:ind w:left="357" w:hanging="357"/>
    </w:pPr>
  </w:style>
  <w:style w:type="paragraph" w:styleId="slovanseznam2">
    <w:name w:val="List Number 2"/>
    <w:basedOn w:val="Normln"/>
    <w:pPr>
      <w:widowControl w:val="0"/>
      <w:tabs>
        <w:tab w:val="left" w:pos="851"/>
      </w:tabs>
      <w:ind w:left="851" w:hanging="851"/>
    </w:pPr>
  </w:style>
  <w:style w:type="paragraph" w:styleId="slovanseznam3">
    <w:name w:val="List Number 3"/>
    <w:basedOn w:val="Normln"/>
    <w:pPr>
      <w:widowControl w:val="0"/>
      <w:tabs>
        <w:tab w:val="left" w:pos="851"/>
      </w:tabs>
      <w:ind w:left="851" w:hanging="284"/>
    </w:pPr>
  </w:style>
  <w:style w:type="paragraph" w:customStyle="1" w:styleId="NadpisA">
    <w:name w:val="Nadpis A"/>
    <w:basedOn w:val="Normln"/>
    <w:next w:val="Bntext"/>
    <w:pPr>
      <w:keepNext/>
      <w:widowControl w:val="0"/>
      <w:spacing w:before="240" w:after="60"/>
    </w:pPr>
    <w:rPr>
      <w:b/>
      <w:caps/>
      <w:kern w:val="28"/>
      <w:sz w:val="28"/>
    </w:rPr>
  </w:style>
  <w:style w:type="paragraph" w:customStyle="1" w:styleId="NadpisB">
    <w:name w:val="Nadpis B"/>
    <w:basedOn w:val="Normln"/>
    <w:next w:val="Bntext"/>
    <w:pPr>
      <w:keepNext/>
      <w:widowControl w:val="0"/>
      <w:spacing w:before="240" w:after="60"/>
    </w:pPr>
    <w:rPr>
      <w:b/>
      <w:kern w:val="28"/>
      <w:sz w:val="28"/>
    </w:rPr>
  </w:style>
  <w:style w:type="paragraph" w:customStyle="1" w:styleId="NadpisC">
    <w:name w:val="Nadpis C"/>
    <w:basedOn w:val="Normln"/>
    <w:next w:val="Bntext"/>
    <w:pPr>
      <w:keepNext/>
      <w:widowControl w:val="0"/>
      <w:spacing w:before="240" w:after="60"/>
    </w:pPr>
    <w:rPr>
      <w:b/>
      <w:kern w:val="24"/>
      <w:sz w:val="24"/>
    </w:rPr>
  </w:style>
  <w:style w:type="paragraph" w:customStyle="1" w:styleId="NadpisD">
    <w:name w:val="Nadpis D"/>
    <w:basedOn w:val="Normln"/>
    <w:next w:val="Bntext"/>
    <w:pPr>
      <w:keepNext/>
      <w:widowControl w:val="0"/>
      <w:spacing w:before="240" w:after="60"/>
    </w:pPr>
    <w:rPr>
      <w:b/>
      <w:kern w:val="22"/>
      <w:sz w:val="22"/>
    </w:rPr>
  </w:style>
  <w:style w:type="paragraph" w:customStyle="1" w:styleId="Nzevobrzku">
    <w:name w:val="Název obrázku"/>
    <w:basedOn w:val="Normln"/>
    <w:rPr>
      <w:i/>
    </w:rPr>
  </w:style>
  <w:style w:type="paragraph" w:customStyle="1" w:styleId="Nzevtabulky">
    <w:name w:val="Název tabulky"/>
    <w:basedOn w:val="Normln"/>
    <w:rPr>
      <w:i/>
    </w:rPr>
  </w:style>
  <w:style w:type="paragraph" w:styleId="Obsah1">
    <w:name w:val="toc 1"/>
    <w:basedOn w:val="Normln"/>
    <w:next w:val="Bntext"/>
    <w:autoRedefine/>
    <w:semiHidden/>
    <w:pPr>
      <w:widowControl w:val="0"/>
      <w:spacing w:after="60"/>
    </w:pPr>
    <w:rPr>
      <w:caps/>
    </w:rPr>
  </w:style>
  <w:style w:type="paragraph" w:styleId="Obsah2">
    <w:name w:val="toc 2"/>
    <w:basedOn w:val="Normln"/>
    <w:next w:val="Bntext"/>
    <w:autoRedefine/>
    <w:semiHidden/>
    <w:pPr>
      <w:widowControl w:val="0"/>
      <w:spacing w:after="60"/>
      <w:ind w:left="198"/>
    </w:pPr>
  </w:style>
  <w:style w:type="paragraph" w:styleId="Obsah3">
    <w:name w:val="toc 3"/>
    <w:basedOn w:val="Normln"/>
    <w:next w:val="Bntext"/>
    <w:autoRedefine/>
    <w:semiHidden/>
    <w:pPr>
      <w:widowControl w:val="0"/>
      <w:spacing w:after="60"/>
      <w:ind w:left="403"/>
    </w:pPr>
  </w:style>
  <w:style w:type="paragraph" w:styleId="Obsah4">
    <w:name w:val="toc 4"/>
    <w:basedOn w:val="Normln"/>
    <w:next w:val="Bntext"/>
    <w:autoRedefine/>
    <w:semiHidden/>
    <w:pPr>
      <w:widowControl w:val="0"/>
      <w:spacing w:after="60"/>
      <w:ind w:left="601"/>
    </w:pPr>
  </w:style>
  <w:style w:type="paragraph" w:styleId="Seznamsodrkami">
    <w:name w:val="List Bullet"/>
    <w:basedOn w:val="Normln"/>
    <w:autoRedefine/>
    <w:pPr>
      <w:widowControl w:val="0"/>
      <w:numPr>
        <w:numId w:val="9"/>
      </w:numPr>
      <w:tabs>
        <w:tab w:val="clear" w:pos="360"/>
        <w:tab w:val="left" w:pos="357"/>
      </w:tabs>
      <w:ind w:left="357" w:hanging="357"/>
    </w:pPr>
  </w:style>
  <w:style w:type="paragraph" w:styleId="Seznamsodrkami2">
    <w:name w:val="List Bullet 2"/>
    <w:basedOn w:val="Normln"/>
    <w:autoRedefine/>
    <w:pPr>
      <w:widowControl w:val="0"/>
      <w:numPr>
        <w:numId w:val="11"/>
      </w:numPr>
      <w:tabs>
        <w:tab w:val="clear" w:pos="643"/>
        <w:tab w:val="left" w:pos="851"/>
      </w:tabs>
      <w:ind w:left="851" w:hanging="851"/>
    </w:pPr>
  </w:style>
  <w:style w:type="paragraph" w:styleId="Seznamsodrkami3">
    <w:name w:val="List Bullet 3"/>
    <w:basedOn w:val="Normln"/>
    <w:autoRedefine/>
    <w:pPr>
      <w:widowControl w:val="0"/>
      <w:numPr>
        <w:numId w:val="13"/>
      </w:numPr>
      <w:tabs>
        <w:tab w:val="clear" w:pos="926"/>
        <w:tab w:val="left" w:pos="851"/>
      </w:tabs>
      <w:ind w:left="851" w:hanging="284"/>
    </w:pPr>
  </w:style>
  <w:style w:type="paragraph" w:styleId="Textpoznpodarou">
    <w:name w:val="footnote text"/>
    <w:basedOn w:val="Normln"/>
    <w:semiHidden/>
    <w:pPr>
      <w:ind w:left="284" w:hanging="284"/>
    </w:pPr>
    <w:rPr>
      <w:i/>
      <w:szCs w:val="20"/>
    </w:rPr>
  </w:style>
  <w:style w:type="paragraph" w:customStyle="1" w:styleId="Texttabulky">
    <w:name w:val="Text tabulky"/>
    <w:basedOn w:val="Normln"/>
    <w:pPr>
      <w:widowControl w:val="0"/>
      <w:spacing w:before="60" w:after="60"/>
    </w:pPr>
  </w:style>
  <w:style w:type="table" w:styleId="Mkatabulky">
    <w:name w:val="Table Grid"/>
    <w:basedOn w:val="Normlntabulka"/>
    <w:rsid w:val="002F65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F650F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93073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rsid w:val="009307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336</TotalTime>
  <Pages>3</Pages>
  <Words>676</Words>
  <Characters>3993</Characters>
  <Application>Microsoft Office Word</Application>
  <DocSecurity>0</DocSecurity>
  <Lines>33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Pöyry Environment a.s.</Company>
  <LinksUpToDate>false</LinksUpToDate>
  <CharactersWithSpaces>4660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Svancara, Jiri</dc:creator>
  <cp:lastModifiedBy>. .</cp:lastModifiedBy>
  <cp:revision>49</cp:revision>
  <cp:lastPrinted>1900-12-31T23:00:00Z</cp:lastPrinted>
  <dcterms:created xsi:type="dcterms:W3CDTF">2020-03-09T10:50:00Z</dcterms:created>
  <dcterms:modified xsi:type="dcterms:W3CDTF">2020-08-17T16:11:00Z</dcterms:modified>
</cp:coreProperties>
</file>